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88CB1" w14:textId="6EE4D793"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744E3E">
        <w:rPr>
          <w:rFonts w:ascii="Arial" w:eastAsia="Batang" w:hAnsi="Arial" w:cs="Arial"/>
          <w:b/>
          <w:bCs/>
          <w:sz w:val="28"/>
          <w:szCs w:val="24"/>
        </w:rPr>
        <w:t> </w:t>
      </w:r>
      <w:r w:rsidRPr="00926446">
        <w:rPr>
          <w:rFonts w:ascii="Arial" w:eastAsia="Batang" w:hAnsi="Arial" w:cs="Arial"/>
          <w:b/>
          <w:bCs/>
          <w:sz w:val="28"/>
          <w:szCs w:val="24"/>
        </w:rPr>
        <w:t>10</w:t>
      </w:r>
      <w:r w:rsidR="00114012">
        <w:rPr>
          <w:rFonts w:ascii="Arial" w:eastAsia="Batang" w:hAnsi="Arial" w:cs="Arial"/>
          <w:b/>
          <w:bCs/>
          <w:sz w:val="28"/>
          <w:szCs w:val="24"/>
        </w:rPr>
        <w:t>6</w:t>
      </w:r>
      <w:r>
        <w:rPr>
          <w:rFonts w:ascii="Arial" w:eastAsia="Batang" w:hAnsi="Arial" w:cs="Arial"/>
          <w:b/>
          <w:bCs/>
          <w:sz w:val="28"/>
          <w:szCs w:val="24"/>
        </w:rPr>
        <w:t xml:space="preserve">-e                                                              </w:t>
      </w:r>
      <w:r w:rsidR="005E7ADB">
        <w:rPr>
          <w:rFonts w:ascii="Arial" w:eastAsia="Batang" w:hAnsi="Arial" w:cs="Arial"/>
          <w:b/>
          <w:bCs/>
          <w:sz w:val="28"/>
          <w:szCs w:val="24"/>
        </w:rPr>
        <w:t xml:space="preserve">   </w:t>
      </w:r>
      <w:r w:rsidR="00BB2E5C" w:rsidRPr="00BB2E5C">
        <w:rPr>
          <w:rFonts w:ascii="Arial" w:eastAsia="Batang" w:hAnsi="Arial" w:cs="Arial"/>
          <w:b/>
          <w:bCs/>
          <w:sz w:val="28"/>
          <w:szCs w:val="24"/>
        </w:rPr>
        <w:t>R1-2107620</w:t>
      </w:r>
    </w:p>
    <w:p w14:paraId="5AF5D47C" w14:textId="666E98EF" w:rsidR="00744E3E" w:rsidRPr="002E16F4" w:rsidRDefault="00114012" w:rsidP="00744E3E">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16</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 27</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August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7733209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91AD8" w:rsidRPr="00F91AD8">
        <w:rPr>
          <w:rFonts w:ascii="Arial" w:eastAsia="Malgun Gothic" w:hAnsi="Arial" w:cs="Arial"/>
          <w:b/>
          <w:sz w:val="24"/>
          <w:lang w:val="en-US" w:eastAsia="ko-KR"/>
        </w:rPr>
        <w:t>On timing relationship for NB-IoT and eMTC NTN</w:t>
      </w:r>
    </w:p>
    <w:p w14:paraId="3596330A" w14:textId="624B9FD1"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635B58">
        <w:rPr>
          <w:rFonts w:ascii="Arial" w:hAnsi="Arial" w:cs="Arial"/>
          <w:b/>
          <w:sz w:val="24"/>
          <w:lang w:val="en-US"/>
        </w:rPr>
        <w:t>15</w:t>
      </w:r>
      <w:r w:rsidR="00B5245B">
        <w:rPr>
          <w:rFonts w:ascii="Arial" w:hAnsi="Arial" w:cs="Arial"/>
          <w:b/>
          <w:sz w:val="24"/>
          <w:lang w:val="en-US"/>
        </w:rPr>
        <w:t>.</w:t>
      </w:r>
      <w:r w:rsidR="00114012">
        <w:rPr>
          <w:rFonts w:ascii="Arial" w:hAnsi="Arial" w:cs="Arial"/>
          <w:b/>
          <w:sz w:val="24"/>
          <w:lang w:val="en-US"/>
        </w:rPr>
        <w:t>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2182B6F5" w14:textId="2EB19CC9" w:rsidR="009F0989" w:rsidRPr="009F0989" w:rsidRDefault="009F0989" w:rsidP="009F0989">
      <w:pPr>
        <w:snapToGrid w:val="0"/>
        <w:spacing w:before="240" w:after="120"/>
        <w:ind w:right="-99"/>
        <w:jc w:val="both"/>
        <w:textAlignment w:val="auto"/>
        <w:rPr>
          <w:sz w:val="22"/>
          <w:szCs w:val="22"/>
          <w:lang w:val="en-US" w:eastAsia="ko-KR"/>
        </w:rPr>
      </w:pPr>
      <w:r w:rsidRPr="000B4ADF">
        <w:rPr>
          <w:sz w:val="22"/>
          <w:szCs w:val="22"/>
          <w:lang w:val="en-US" w:eastAsia="ko-KR"/>
        </w:rPr>
        <w:t xml:space="preserve">At the 3GPP TSG RAN meeting #86 new </w:t>
      </w:r>
      <w:r>
        <w:rPr>
          <w:sz w:val="22"/>
          <w:szCs w:val="22"/>
          <w:lang w:val="en-US" w:eastAsia="ko-KR"/>
        </w:rPr>
        <w:t>study</w:t>
      </w:r>
      <w:r w:rsidRPr="000B4ADF">
        <w:rPr>
          <w:sz w:val="22"/>
          <w:szCs w:val="22"/>
          <w:lang w:val="en-US" w:eastAsia="ko-KR"/>
        </w:rPr>
        <w:t xml:space="preserve"> item (</w:t>
      </w:r>
      <w:r>
        <w:rPr>
          <w:sz w:val="22"/>
          <w:szCs w:val="22"/>
          <w:lang w:val="en-US" w:eastAsia="ko-KR"/>
        </w:rPr>
        <w:t>S</w:t>
      </w:r>
      <w:r w:rsidRPr="000B4ADF">
        <w:rPr>
          <w:sz w:val="22"/>
          <w:szCs w:val="22"/>
          <w:lang w:val="en-US" w:eastAsia="ko-KR"/>
        </w:rPr>
        <w:t xml:space="preserve">I) on </w:t>
      </w:r>
      <w:r w:rsidRPr="005C3FE0">
        <w:rPr>
          <w:sz w:val="22"/>
          <w:szCs w:val="22"/>
          <w:lang w:val="en-US" w:eastAsia="ko-KR"/>
        </w:rPr>
        <w:t>NB-Io</w:t>
      </w:r>
      <w:r>
        <w:rPr>
          <w:sz w:val="22"/>
          <w:szCs w:val="22"/>
          <w:lang w:val="en-US" w:eastAsia="ko-KR"/>
        </w:rPr>
        <w:t>T</w:t>
      </w:r>
      <w:r w:rsidRPr="005C3FE0">
        <w:rPr>
          <w:sz w:val="22"/>
          <w:szCs w:val="22"/>
          <w:lang w:val="en-US" w:eastAsia="ko-KR"/>
        </w:rPr>
        <w:t>/eMTC support for Non-Terrestrial Network</w:t>
      </w:r>
      <w:r w:rsidRPr="000B4ADF">
        <w:rPr>
          <w:sz w:val="22"/>
          <w:szCs w:val="22"/>
          <w:lang w:val="en-US" w:eastAsia="ko-KR"/>
        </w:rPr>
        <w:t xml:space="preserve"> (NTN) was approved in [1]. </w:t>
      </w:r>
      <w:r>
        <w:rPr>
          <w:sz w:val="22"/>
          <w:szCs w:val="22"/>
          <w:lang w:val="en-US" w:eastAsia="ko-KR"/>
        </w:rPr>
        <w:t>This SI</w:t>
      </w:r>
      <w:r w:rsidRPr="000B4ADF">
        <w:rPr>
          <w:sz w:val="22"/>
          <w:szCs w:val="22"/>
          <w:lang w:val="en-US" w:eastAsia="ko-KR"/>
        </w:rPr>
        <w:t xml:space="preserve"> aims to </w:t>
      </w:r>
      <w:r w:rsidRPr="00880DD0">
        <w:rPr>
          <w:sz w:val="22"/>
          <w:szCs w:val="22"/>
          <w:lang w:val="en-US" w:eastAsia="ko-KR"/>
        </w:rPr>
        <w:t xml:space="preserve">evaluate and confirm solutions to address the minimum necessary specifications for </w:t>
      </w:r>
      <w:r w:rsidRPr="004B185D">
        <w:rPr>
          <w:sz w:val="22"/>
          <w:szCs w:val="22"/>
          <w:lang w:val="en-US" w:eastAsia="ko-KR"/>
        </w:rPr>
        <w:t>NB-IoT and eMTC NTN</w:t>
      </w:r>
      <w:r>
        <w:rPr>
          <w:sz w:val="22"/>
          <w:szCs w:val="22"/>
          <w:lang w:val="en-US" w:eastAsia="ko-KR"/>
        </w:rPr>
        <w:t xml:space="preserve">. The outcome of the SI is captured in the TR 36.763. At the RAN#92-e new work item (WI) on </w:t>
      </w:r>
      <w:r w:rsidRPr="00880DD0">
        <w:rPr>
          <w:sz w:val="22"/>
          <w:szCs w:val="22"/>
          <w:lang w:val="en-US" w:eastAsia="ko-KR"/>
        </w:rPr>
        <w:t>NB-IoT and eMTC</w:t>
      </w:r>
      <w:r>
        <w:rPr>
          <w:sz w:val="22"/>
          <w:szCs w:val="22"/>
          <w:lang w:val="en-US" w:eastAsia="ko-KR"/>
        </w:rPr>
        <w:t xml:space="preserve"> NTN (IoT-NTN) was agreed in. One of the objectives from the WID [2] is to s</w:t>
      </w:r>
      <w:r w:rsidRPr="009F0989">
        <w:rPr>
          <w:sz w:val="22"/>
          <w:szCs w:val="22"/>
          <w:lang w:val="en-US" w:eastAsia="ko-KR"/>
        </w:rPr>
        <w:t xml:space="preserve">pecify the </w:t>
      </w:r>
      <w:proofErr w:type="gramStart"/>
      <w:r w:rsidRPr="009F0989">
        <w:rPr>
          <w:sz w:val="22"/>
          <w:szCs w:val="22"/>
          <w:lang w:val="en-US" w:eastAsia="ko-KR"/>
        </w:rPr>
        <w:t>following  IoT</w:t>
      </w:r>
      <w:proofErr w:type="gramEnd"/>
      <w:r w:rsidRPr="009F0989">
        <w:rPr>
          <w:sz w:val="22"/>
          <w:szCs w:val="22"/>
          <w:lang w:val="en-US" w:eastAsia="ko-KR"/>
        </w:rPr>
        <w:t xml:space="preserve"> NTN specific timing relationships enhancements according to Section 8 in TR 36.763</w:t>
      </w:r>
      <w:r>
        <w:rPr>
          <w:sz w:val="22"/>
          <w:szCs w:val="22"/>
          <w:lang w:val="en-US" w:eastAsia="ko-KR"/>
        </w:rPr>
        <w:t>.</w:t>
      </w:r>
    </w:p>
    <w:p w14:paraId="330EEAF9" w14:textId="4E14F31E" w:rsidR="009F0989" w:rsidRPr="009F0989" w:rsidRDefault="009F0989" w:rsidP="009F0989">
      <w:pPr>
        <w:pStyle w:val="ListParagraph"/>
        <w:numPr>
          <w:ilvl w:val="0"/>
          <w:numId w:val="34"/>
        </w:numPr>
        <w:snapToGrid w:val="0"/>
        <w:spacing w:before="240" w:after="120"/>
        <w:ind w:right="-99"/>
        <w:jc w:val="both"/>
        <w:rPr>
          <w:rFonts w:ascii="Times New Roman" w:hAnsi="Times New Roman"/>
          <w:lang w:eastAsia="ko-KR"/>
        </w:rPr>
      </w:pPr>
      <w:r w:rsidRPr="009F0989">
        <w:rPr>
          <w:rFonts w:ascii="Times New Roman" w:hAnsi="Times New Roman"/>
          <w:lang w:eastAsia="ko-KR"/>
        </w:rPr>
        <w:t xml:space="preserve">Timing relationships for NB-IoT / eMTC: as listed in Section 6.6.3 in TR 36.763 </w:t>
      </w:r>
    </w:p>
    <w:p w14:paraId="5E592EB1" w14:textId="169F247D" w:rsidR="009F0989" w:rsidRPr="009F0989" w:rsidRDefault="009F0989" w:rsidP="009F0989">
      <w:pPr>
        <w:pStyle w:val="ListParagraph"/>
        <w:numPr>
          <w:ilvl w:val="0"/>
          <w:numId w:val="34"/>
        </w:numPr>
        <w:snapToGrid w:val="0"/>
        <w:spacing w:before="240" w:after="120"/>
        <w:ind w:right="-99"/>
        <w:jc w:val="both"/>
        <w:rPr>
          <w:rFonts w:ascii="Times New Roman" w:hAnsi="Times New Roman"/>
          <w:lang w:eastAsia="ko-KR"/>
        </w:rPr>
      </w:pPr>
      <w:r w:rsidRPr="009F0989">
        <w:rPr>
          <w:rFonts w:ascii="Times New Roman" w:hAnsi="Times New Roman"/>
          <w:lang w:eastAsia="ko-KR"/>
        </w:rPr>
        <w:t>UL scheduling for FDD-HD: Use of UE-specific TA and/or K_offset to avoid UL-DL collisions in FDD-HD</w:t>
      </w:r>
    </w:p>
    <w:p w14:paraId="0A07D7E5" w14:textId="400CE6C1" w:rsidR="009F0989" w:rsidRPr="009F0989" w:rsidRDefault="009F0989" w:rsidP="009F0989">
      <w:pPr>
        <w:pStyle w:val="ListParagraph"/>
        <w:numPr>
          <w:ilvl w:val="0"/>
          <w:numId w:val="34"/>
        </w:numPr>
        <w:snapToGrid w:val="0"/>
        <w:spacing w:before="240" w:after="120"/>
        <w:ind w:right="-99"/>
        <w:jc w:val="both"/>
        <w:rPr>
          <w:rFonts w:ascii="Times New Roman" w:hAnsi="Times New Roman"/>
          <w:lang w:eastAsia="ko-KR"/>
        </w:rPr>
      </w:pPr>
      <w:r w:rsidRPr="009F0989">
        <w:rPr>
          <w:rFonts w:ascii="Times New Roman" w:hAnsi="Times New Roman"/>
          <w:lang w:eastAsia="ko-KR"/>
        </w:rPr>
        <w:t>Signalling aspects in UE-specific TA maintenance and reporting, techniques to reduce the signalling load and determination of the UE-specific TA.</w:t>
      </w:r>
    </w:p>
    <w:p w14:paraId="6357C85A" w14:textId="37012B2C" w:rsidR="00193AEA" w:rsidRPr="000B4ADF" w:rsidRDefault="00193AEA" w:rsidP="009F0989">
      <w:pPr>
        <w:snapToGrid w:val="0"/>
        <w:spacing w:before="240" w:after="120"/>
        <w:ind w:right="-99"/>
        <w:jc w:val="both"/>
        <w:rPr>
          <w:sz w:val="22"/>
          <w:szCs w:val="22"/>
          <w:lang w:eastAsia="ko-KR"/>
        </w:rPr>
      </w:pPr>
      <w:r>
        <w:rPr>
          <w:sz w:val="22"/>
          <w:szCs w:val="22"/>
          <w:lang w:eastAsia="ko-KR"/>
        </w:rPr>
        <w:t xml:space="preserve">In this contribution </w:t>
      </w:r>
      <w:r w:rsidR="00B8321A">
        <w:rPr>
          <w:sz w:val="22"/>
          <w:szCs w:val="22"/>
          <w:lang w:eastAsia="ko-KR"/>
        </w:rPr>
        <w:t>enhancements to timing relationship</w:t>
      </w:r>
      <w:r>
        <w:rPr>
          <w:sz w:val="22"/>
          <w:szCs w:val="22"/>
          <w:lang w:eastAsia="ko-KR"/>
        </w:rPr>
        <w:t xml:space="preserve"> for </w:t>
      </w:r>
      <w:r w:rsidRPr="005C3FE0">
        <w:rPr>
          <w:sz w:val="22"/>
          <w:szCs w:val="22"/>
          <w:lang w:val="en-US" w:eastAsia="ko-KR"/>
        </w:rPr>
        <w:t>NB-Io</w:t>
      </w:r>
      <w:r>
        <w:rPr>
          <w:sz w:val="22"/>
          <w:szCs w:val="22"/>
          <w:lang w:val="en-US" w:eastAsia="ko-KR"/>
        </w:rPr>
        <w:t>T</w:t>
      </w:r>
      <w:r w:rsidRPr="005C3FE0">
        <w:rPr>
          <w:sz w:val="22"/>
          <w:szCs w:val="22"/>
          <w:lang w:val="en-US" w:eastAsia="ko-KR"/>
        </w:rPr>
        <w:t xml:space="preserve">/eMTC </w:t>
      </w:r>
      <w:r>
        <w:rPr>
          <w:sz w:val="22"/>
          <w:szCs w:val="22"/>
          <w:lang w:val="en-US" w:eastAsia="ko-KR"/>
        </w:rPr>
        <w:t xml:space="preserve">to </w:t>
      </w:r>
      <w:r w:rsidRPr="005C3FE0">
        <w:rPr>
          <w:sz w:val="22"/>
          <w:szCs w:val="22"/>
          <w:lang w:val="en-US" w:eastAsia="ko-KR"/>
        </w:rPr>
        <w:t xml:space="preserve">support </w:t>
      </w:r>
      <w:r>
        <w:rPr>
          <w:sz w:val="22"/>
          <w:szCs w:val="22"/>
          <w:lang w:val="en-US" w:eastAsia="ko-KR"/>
        </w:rPr>
        <w:t>NTN are discussed</w:t>
      </w:r>
      <w:r>
        <w:rPr>
          <w:sz w:val="22"/>
          <w:szCs w:val="22"/>
          <w:lang w:eastAsia="ko-KR"/>
        </w:rPr>
        <w:t xml:space="preserve">. </w:t>
      </w:r>
    </w:p>
    <w:p w14:paraId="6E86C629" w14:textId="7F29B324" w:rsidR="008E0AF4" w:rsidRPr="004677EF" w:rsidRDefault="00790513" w:rsidP="004677EF">
      <w:pPr>
        <w:pStyle w:val="Heading1"/>
        <w:numPr>
          <w:ilvl w:val="0"/>
          <w:numId w:val="5"/>
        </w:numPr>
        <w:spacing w:before="120" w:after="60"/>
        <w:jc w:val="both"/>
        <w:rPr>
          <w:rFonts w:cs="Arial"/>
          <w:lang w:val="en-US"/>
        </w:rPr>
      </w:pPr>
      <w:r>
        <w:rPr>
          <w:rFonts w:cs="Arial"/>
          <w:lang w:val="en-US"/>
        </w:rPr>
        <w:t>Discussion</w:t>
      </w:r>
    </w:p>
    <w:p w14:paraId="36149DFB" w14:textId="0B7BE282" w:rsidR="00C339A7" w:rsidRPr="00AB03CE" w:rsidRDefault="002B0683" w:rsidP="00AB03CE">
      <w:pPr>
        <w:snapToGrid w:val="0"/>
        <w:spacing w:before="240" w:after="120"/>
        <w:ind w:right="-99"/>
        <w:jc w:val="both"/>
        <w:rPr>
          <w:sz w:val="22"/>
          <w:szCs w:val="22"/>
          <w:lang w:eastAsia="ko-KR"/>
        </w:rPr>
      </w:pPr>
      <w:r w:rsidRPr="00AB03CE">
        <w:rPr>
          <w:sz w:val="22"/>
          <w:szCs w:val="22"/>
          <w:lang w:eastAsia="ko-KR"/>
        </w:rPr>
        <w:t>One of the objectives of the newly introduced WI for IoT-NTN [2] is</w:t>
      </w:r>
      <w:r w:rsidR="00C339A7" w:rsidRPr="00AB03CE">
        <w:rPr>
          <w:sz w:val="22"/>
          <w:szCs w:val="22"/>
          <w:lang w:eastAsia="ko-KR"/>
        </w:rPr>
        <w:t xml:space="preserve"> to enhance timing relationships for NB-IoT / eMTC as listed in Section 6.6.3 in TR 36.763. According to the TR 36.763, the enhancement based on extending the timing relationship, by </w:t>
      </w:r>
      <w:proofErr w:type="gramStart"/>
      <w:r w:rsidR="00C339A7" w:rsidRPr="00AB03CE">
        <w:rPr>
          <w:sz w:val="22"/>
          <w:szCs w:val="22"/>
          <w:lang w:eastAsia="ko-KR"/>
        </w:rPr>
        <w:t>e.g.</w:t>
      </w:r>
      <w:proofErr w:type="gramEnd"/>
      <w:r w:rsidR="00C339A7" w:rsidRPr="00AB03CE">
        <w:rPr>
          <w:sz w:val="22"/>
          <w:szCs w:val="22"/>
          <w:lang w:eastAsia="ko-KR"/>
        </w:rPr>
        <w:t xml:space="preserve"> Koffset, adopted in NR NTN should be the starting point for enhancement of eMTC timing relationships in IoT NTN. Since the solution which is based on K_offset is simple and it is already considered for NR NTN, we propose to support it for eMTC and NB-IoT NTN.</w:t>
      </w:r>
    </w:p>
    <w:p w14:paraId="2AAD5298" w14:textId="657C14AA" w:rsidR="00C339A7" w:rsidRPr="00AB03CE" w:rsidRDefault="00C339A7" w:rsidP="00AB03CE">
      <w:pPr>
        <w:snapToGrid w:val="0"/>
        <w:spacing w:before="240" w:after="120"/>
        <w:ind w:right="-99"/>
        <w:jc w:val="both"/>
        <w:rPr>
          <w:sz w:val="22"/>
          <w:szCs w:val="22"/>
          <w:lang w:eastAsia="ko-KR"/>
        </w:rPr>
      </w:pPr>
      <w:r w:rsidRPr="00AB03CE">
        <w:rPr>
          <w:sz w:val="22"/>
          <w:szCs w:val="22"/>
          <w:lang w:eastAsia="ko-KR"/>
        </w:rPr>
        <w:t xml:space="preserve">Cell-specific K_offset should be broadcasted by the eNB and received by a UE before initial access. </w:t>
      </w:r>
      <w:r w:rsidR="00DB6B6A" w:rsidRPr="00AB03CE">
        <w:rPr>
          <w:sz w:val="22"/>
          <w:szCs w:val="22"/>
          <w:lang w:eastAsia="ko-KR"/>
        </w:rPr>
        <w:t xml:space="preserve">After initial access update of K_offset to UE-specific value can be considered to improve delay characteristics for PUSCH and PUCCH. </w:t>
      </w:r>
      <w:r w:rsidR="008C583E">
        <w:rPr>
          <w:sz w:val="22"/>
          <w:szCs w:val="22"/>
          <w:lang w:eastAsia="ko-KR"/>
        </w:rPr>
        <w:t xml:space="preserve">UE-specific K_offset configuration can be </w:t>
      </w:r>
      <w:proofErr w:type="gramStart"/>
      <w:r w:rsidR="008C583E">
        <w:rPr>
          <w:sz w:val="22"/>
          <w:szCs w:val="22"/>
          <w:lang w:eastAsia="ko-KR"/>
        </w:rPr>
        <w:t>consider</w:t>
      </w:r>
      <w:proofErr w:type="gramEnd"/>
      <w:r w:rsidR="008C583E">
        <w:rPr>
          <w:sz w:val="22"/>
          <w:szCs w:val="22"/>
          <w:lang w:eastAsia="ko-KR"/>
        </w:rPr>
        <w:t xml:space="preserve"> after some other details are agreed (e.g. support of cell-specific K_offset and reporting of UE-specific TA).</w:t>
      </w:r>
    </w:p>
    <w:p w14:paraId="27056EA0" w14:textId="0C928512" w:rsidR="00D6753D" w:rsidRPr="00AB03CE" w:rsidRDefault="00D6753D" w:rsidP="00AB03CE">
      <w:pPr>
        <w:spacing w:before="240" w:after="240"/>
        <w:jc w:val="both"/>
        <w:rPr>
          <w:b/>
          <w:bCs/>
          <w:i/>
          <w:sz w:val="22"/>
          <w:szCs w:val="22"/>
        </w:rPr>
      </w:pPr>
      <w:r w:rsidRPr="00AB03CE">
        <w:rPr>
          <w:b/>
          <w:bCs/>
          <w:i/>
          <w:sz w:val="22"/>
          <w:szCs w:val="22"/>
        </w:rPr>
        <w:t xml:space="preserve">Proposal 1: </w:t>
      </w:r>
    </w:p>
    <w:p w14:paraId="09D21F14" w14:textId="35BCE736" w:rsidR="00D6753D" w:rsidRPr="00C77556" w:rsidRDefault="00D6753D" w:rsidP="00D6753D">
      <w:pPr>
        <w:pStyle w:val="ListParagraph"/>
        <w:numPr>
          <w:ilvl w:val="0"/>
          <w:numId w:val="41"/>
        </w:numPr>
        <w:spacing w:before="240" w:after="240"/>
        <w:jc w:val="both"/>
        <w:rPr>
          <w:rFonts w:ascii="Times New Roman" w:hAnsi="Times New Roman"/>
          <w:i/>
          <w:iCs/>
          <w:lang w:eastAsia="ko-KR"/>
        </w:rPr>
      </w:pPr>
      <w:r w:rsidRPr="00C77556">
        <w:rPr>
          <w:rFonts w:ascii="Times New Roman" w:hAnsi="Times New Roman"/>
          <w:i/>
          <w:iCs/>
          <w:color w:val="000000"/>
          <w:shd w:val="clear" w:color="auto" w:fill="FFFFFF"/>
        </w:rPr>
        <w:t>Support additional common slot offset K</w:t>
      </w:r>
      <w:r w:rsidR="002054CE">
        <w:rPr>
          <w:rFonts w:ascii="Times New Roman" w:hAnsi="Times New Roman"/>
          <w:i/>
          <w:iCs/>
          <w:color w:val="000000"/>
          <w:shd w:val="clear" w:color="auto" w:fill="FFFFFF"/>
        </w:rPr>
        <w:t>_</w:t>
      </w:r>
      <w:r w:rsidRPr="00C77556">
        <w:rPr>
          <w:rFonts w:ascii="Times New Roman" w:hAnsi="Times New Roman"/>
          <w:i/>
          <w:iCs/>
          <w:color w:val="000000"/>
          <w:shd w:val="clear" w:color="auto" w:fill="FFFFFF"/>
        </w:rPr>
        <w:t xml:space="preserve">offset for the Timing relationships for NB-IoT / eMTC listed in Section 6.6.3 in TR 36.763 </w:t>
      </w:r>
    </w:p>
    <w:p w14:paraId="2B7F3873" w14:textId="31CF5D65" w:rsidR="00D6753D" w:rsidRPr="00C77556" w:rsidRDefault="00D6753D" w:rsidP="00D6753D">
      <w:pPr>
        <w:pStyle w:val="ListParagraph"/>
        <w:numPr>
          <w:ilvl w:val="1"/>
          <w:numId w:val="41"/>
        </w:numPr>
        <w:spacing w:before="240" w:after="240"/>
        <w:jc w:val="both"/>
        <w:rPr>
          <w:rFonts w:ascii="Times New Roman" w:hAnsi="Times New Roman"/>
          <w:i/>
          <w:iCs/>
          <w:lang w:eastAsia="ko-KR"/>
        </w:rPr>
      </w:pPr>
      <w:r w:rsidRPr="00C77556">
        <w:rPr>
          <w:rFonts w:ascii="Times New Roman" w:hAnsi="Times New Roman"/>
          <w:i/>
          <w:iCs/>
          <w:color w:val="000000"/>
          <w:shd w:val="clear" w:color="auto" w:fill="FFFFFF"/>
        </w:rPr>
        <w:t>Support at least cell-specific configuration of K_offset</w:t>
      </w:r>
      <w:r w:rsidR="008C583E">
        <w:rPr>
          <w:rFonts w:ascii="Times New Roman" w:hAnsi="Times New Roman"/>
          <w:i/>
          <w:iCs/>
          <w:color w:val="000000"/>
          <w:shd w:val="clear" w:color="auto" w:fill="FFFFFF"/>
        </w:rPr>
        <w:t>; FFS: UE</w:t>
      </w:r>
      <w:r w:rsidR="008C583E" w:rsidRPr="008C583E">
        <w:rPr>
          <w:rFonts w:ascii="Times New Roman" w:hAnsi="Times New Roman"/>
          <w:i/>
          <w:iCs/>
          <w:color w:val="000000"/>
          <w:shd w:val="clear" w:color="auto" w:fill="FFFFFF"/>
        </w:rPr>
        <w:t>-specific configuration of K_offset</w:t>
      </w:r>
    </w:p>
    <w:p w14:paraId="23D2222C" w14:textId="6032A8BA" w:rsidR="000A46C9" w:rsidRPr="000A46C9" w:rsidRDefault="000A46C9" w:rsidP="000A46C9">
      <w:pPr>
        <w:spacing w:before="240" w:after="240"/>
        <w:jc w:val="both"/>
        <w:rPr>
          <w:iCs/>
          <w:sz w:val="22"/>
          <w:szCs w:val="22"/>
        </w:rPr>
      </w:pPr>
      <w:proofErr w:type="gramStart"/>
      <w:r w:rsidRPr="000A46C9">
        <w:rPr>
          <w:iCs/>
          <w:sz w:val="22"/>
          <w:szCs w:val="22"/>
        </w:rPr>
        <w:t>In order to</w:t>
      </w:r>
      <w:proofErr w:type="gramEnd"/>
      <w:r w:rsidRPr="000A46C9">
        <w:rPr>
          <w:iCs/>
          <w:sz w:val="22"/>
          <w:szCs w:val="22"/>
        </w:rPr>
        <w:t xml:space="preserve"> reduce UE complexity and UE cost NB-IoT and eMTC devices support half-duplex FDD mode. In such mode simultaneous transmission and reception is not possible as it is done in normal FDD operation. It is assumed that </w:t>
      </w:r>
      <w:proofErr w:type="gramStart"/>
      <w:r w:rsidRPr="000A46C9">
        <w:rPr>
          <w:iCs/>
          <w:sz w:val="22"/>
          <w:szCs w:val="22"/>
        </w:rPr>
        <w:t>in order to</w:t>
      </w:r>
      <w:proofErr w:type="gramEnd"/>
      <w:r w:rsidRPr="000A46C9">
        <w:rPr>
          <w:iCs/>
          <w:sz w:val="22"/>
          <w:szCs w:val="22"/>
        </w:rPr>
        <w:t xml:space="preserve"> achieve time synchronisation for UL transmission UE applies additional TA to compensate delay introduced in the service link. The value of additional TA is calculated at the UE side autonomously based on GNSS </w:t>
      </w:r>
      <w:r w:rsidRPr="000A46C9">
        <w:rPr>
          <w:iCs/>
          <w:sz w:val="22"/>
          <w:szCs w:val="22"/>
        </w:rPr>
        <w:lastRenderedPageBreak/>
        <w:t xml:space="preserve">information and satellite ephemeris. If the value of the additional delay is not known by the eNB, UL transmission can collide with DL reception at the UE side. Hence, reporting of additional TA applied by the UE to compensate service link delay should be supported. </w:t>
      </w:r>
      <w:r w:rsidR="00A930BF">
        <w:rPr>
          <w:iCs/>
          <w:sz w:val="22"/>
          <w:szCs w:val="22"/>
        </w:rPr>
        <w:t xml:space="preserve">Since </w:t>
      </w:r>
      <w:r w:rsidR="00191AE7">
        <w:rPr>
          <w:iCs/>
          <w:sz w:val="22"/>
          <w:szCs w:val="22"/>
        </w:rPr>
        <w:t>subframe</w:t>
      </w:r>
      <w:r w:rsidR="00A930BF">
        <w:rPr>
          <w:iCs/>
          <w:sz w:val="22"/>
          <w:szCs w:val="22"/>
        </w:rPr>
        <w:t xml:space="preserve">-level granularity is enough to avoid collision between UL transmission and DL reception with reasonable delay, </w:t>
      </w:r>
      <w:r w:rsidR="00191AE7">
        <w:rPr>
          <w:iCs/>
          <w:sz w:val="22"/>
          <w:szCs w:val="22"/>
        </w:rPr>
        <w:t>subframe</w:t>
      </w:r>
      <w:r w:rsidR="00A930BF">
        <w:rPr>
          <w:iCs/>
          <w:sz w:val="22"/>
          <w:szCs w:val="22"/>
        </w:rPr>
        <w:t xml:space="preserve"> granularity can be considered for the reporting of the TA. </w:t>
      </w:r>
    </w:p>
    <w:p w14:paraId="4F75B186" w14:textId="37AA782B" w:rsidR="000A46C9" w:rsidRPr="000A46C9" w:rsidRDefault="000A46C9" w:rsidP="000A46C9">
      <w:pPr>
        <w:spacing w:before="240" w:after="240"/>
        <w:jc w:val="both"/>
        <w:rPr>
          <w:iCs/>
          <w:sz w:val="22"/>
          <w:szCs w:val="22"/>
        </w:rPr>
      </w:pPr>
      <w:r w:rsidRPr="000A46C9">
        <w:rPr>
          <w:b/>
          <w:bCs/>
          <w:i/>
          <w:sz w:val="22"/>
          <w:szCs w:val="22"/>
        </w:rPr>
        <w:t xml:space="preserve">Proposal </w:t>
      </w:r>
      <w:r w:rsidR="00A930BF">
        <w:rPr>
          <w:b/>
          <w:bCs/>
          <w:i/>
          <w:sz w:val="22"/>
          <w:szCs w:val="22"/>
        </w:rPr>
        <w:t>2</w:t>
      </w:r>
      <w:r w:rsidRPr="000A46C9">
        <w:rPr>
          <w:iCs/>
          <w:sz w:val="22"/>
          <w:szCs w:val="22"/>
        </w:rPr>
        <w:t xml:space="preserve">: </w:t>
      </w:r>
    </w:p>
    <w:p w14:paraId="71283CB7" w14:textId="5512A0A9" w:rsidR="000A46C9" w:rsidRDefault="000A46C9" w:rsidP="000A46C9">
      <w:pPr>
        <w:pStyle w:val="ListParagraph"/>
        <w:numPr>
          <w:ilvl w:val="0"/>
          <w:numId w:val="35"/>
        </w:numPr>
        <w:spacing w:before="240" w:after="240"/>
        <w:jc w:val="both"/>
        <w:rPr>
          <w:rFonts w:ascii="Times New Roman" w:hAnsi="Times New Roman"/>
          <w:i/>
        </w:rPr>
      </w:pPr>
      <w:r w:rsidRPr="000A46C9">
        <w:rPr>
          <w:rFonts w:ascii="Times New Roman" w:hAnsi="Times New Roman"/>
          <w:i/>
        </w:rPr>
        <w:t xml:space="preserve">Reporting of </w:t>
      </w:r>
      <w:r>
        <w:rPr>
          <w:rFonts w:ascii="Times New Roman" w:hAnsi="Times New Roman"/>
          <w:i/>
        </w:rPr>
        <w:t xml:space="preserve">UE-specific </w:t>
      </w:r>
      <w:r w:rsidRPr="000A46C9">
        <w:rPr>
          <w:rFonts w:ascii="Times New Roman" w:hAnsi="Times New Roman"/>
          <w:i/>
        </w:rPr>
        <w:t>TA calculated based on GNSS information and satellite ephemeris is necessary to enable half-duplex FDD operation</w:t>
      </w:r>
    </w:p>
    <w:p w14:paraId="2F71C64F" w14:textId="11C36EC1" w:rsidR="000A46C9" w:rsidRDefault="00191AE7" w:rsidP="000A46C9">
      <w:pPr>
        <w:pStyle w:val="ListParagraph"/>
        <w:numPr>
          <w:ilvl w:val="1"/>
          <w:numId w:val="35"/>
        </w:numPr>
        <w:spacing w:before="240" w:after="240"/>
        <w:jc w:val="both"/>
        <w:rPr>
          <w:rFonts w:ascii="Times New Roman" w:hAnsi="Times New Roman"/>
          <w:i/>
        </w:rPr>
      </w:pPr>
      <w:r>
        <w:rPr>
          <w:rFonts w:ascii="Times New Roman" w:hAnsi="Times New Roman"/>
          <w:i/>
        </w:rPr>
        <w:t>Subframe</w:t>
      </w:r>
      <w:r w:rsidR="00EE3F26">
        <w:rPr>
          <w:rFonts w:ascii="Times New Roman" w:hAnsi="Times New Roman"/>
          <w:i/>
        </w:rPr>
        <w:t>-level granularity can be considered for reporting</w:t>
      </w:r>
    </w:p>
    <w:p w14:paraId="117C919F" w14:textId="39E55961" w:rsidR="008C583E" w:rsidRPr="008C583E" w:rsidRDefault="008C583E" w:rsidP="008C583E">
      <w:pPr>
        <w:spacing w:before="240" w:after="240"/>
        <w:jc w:val="both"/>
        <w:rPr>
          <w:iCs/>
          <w:sz w:val="22"/>
          <w:szCs w:val="22"/>
        </w:rPr>
      </w:pPr>
      <w:proofErr w:type="gramStart"/>
      <w:r w:rsidRPr="008C583E">
        <w:rPr>
          <w:iCs/>
          <w:sz w:val="22"/>
          <w:szCs w:val="22"/>
        </w:rPr>
        <w:t xml:space="preserve">In order </w:t>
      </w:r>
      <w:r>
        <w:rPr>
          <w:iCs/>
          <w:sz w:val="22"/>
          <w:szCs w:val="22"/>
        </w:rPr>
        <w:t>to</w:t>
      </w:r>
      <w:proofErr w:type="gramEnd"/>
      <w:r>
        <w:rPr>
          <w:iCs/>
          <w:sz w:val="22"/>
          <w:szCs w:val="22"/>
        </w:rPr>
        <w:t xml:space="preserve"> track the variations in the TA value over time report of UE-specific TA can be updated time to time. </w:t>
      </w:r>
      <w:proofErr w:type="gramStart"/>
      <w:r>
        <w:rPr>
          <w:iCs/>
          <w:sz w:val="22"/>
          <w:szCs w:val="22"/>
        </w:rPr>
        <w:t>In order to</w:t>
      </w:r>
      <w:proofErr w:type="gramEnd"/>
      <w:r>
        <w:rPr>
          <w:iCs/>
          <w:sz w:val="22"/>
          <w:szCs w:val="22"/>
        </w:rPr>
        <w:t xml:space="preserve"> reduce the overhead some features may be considered. For example, r</w:t>
      </w:r>
      <w:r w:rsidRPr="008C583E">
        <w:rPr>
          <w:iCs/>
          <w:sz w:val="22"/>
          <w:szCs w:val="22"/>
        </w:rPr>
        <w:t>eporting of information to extrapolate/interpolate UE-specific TA</w:t>
      </w:r>
      <w:r w:rsidR="00903FBE">
        <w:rPr>
          <w:iCs/>
          <w:sz w:val="22"/>
          <w:szCs w:val="22"/>
        </w:rPr>
        <w:t xml:space="preserve"> can be considered (</w:t>
      </w:r>
      <w:proofErr w:type="gramStart"/>
      <w:r w:rsidR="00903FBE">
        <w:rPr>
          <w:iCs/>
          <w:sz w:val="22"/>
          <w:szCs w:val="22"/>
        </w:rPr>
        <w:t>e</w:t>
      </w:r>
      <w:r w:rsidRPr="008C583E">
        <w:rPr>
          <w:iCs/>
          <w:sz w:val="22"/>
          <w:szCs w:val="22"/>
        </w:rPr>
        <w:t>.g.</w:t>
      </w:r>
      <w:proofErr w:type="gramEnd"/>
      <w:r w:rsidRPr="008C583E">
        <w:rPr>
          <w:iCs/>
          <w:sz w:val="22"/>
          <w:szCs w:val="22"/>
        </w:rPr>
        <w:t xml:space="preserve"> series of values, 1st order derivative</w:t>
      </w:r>
      <w:r w:rsidR="00903FBE">
        <w:rPr>
          <w:iCs/>
          <w:sz w:val="22"/>
          <w:szCs w:val="22"/>
        </w:rPr>
        <w:t xml:space="preserve">, etc.). Also, </w:t>
      </w:r>
      <w:r w:rsidR="00903FBE" w:rsidRPr="00903FBE">
        <w:rPr>
          <w:iCs/>
          <w:sz w:val="22"/>
          <w:szCs w:val="22"/>
        </w:rPr>
        <w:t>Reporting of UE location (based on GNSS)</w:t>
      </w:r>
      <w:r w:rsidR="00903FBE">
        <w:rPr>
          <w:iCs/>
          <w:sz w:val="22"/>
          <w:szCs w:val="22"/>
        </w:rPr>
        <w:t xml:space="preserve"> can be considered to calculate common TA at the eNB side.</w:t>
      </w:r>
    </w:p>
    <w:p w14:paraId="7728E2F9" w14:textId="7B361EE4" w:rsidR="00903FBE" w:rsidRDefault="00903FBE" w:rsidP="00903FBE">
      <w:pPr>
        <w:spacing w:before="240" w:after="240"/>
        <w:jc w:val="both"/>
        <w:rPr>
          <w:b/>
          <w:bCs/>
          <w:i/>
          <w:sz w:val="22"/>
          <w:szCs w:val="22"/>
        </w:rPr>
      </w:pPr>
      <w:r w:rsidRPr="00903FBE">
        <w:rPr>
          <w:b/>
          <w:bCs/>
          <w:i/>
          <w:sz w:val="22"/>
          <w:szCs w:val="22"/>
        </w:rPr>
        <w:t xml:space="preserve">Proposal 3: </w:t>
      </w:r>
    </w:p>
    <w:p w14:paraId="4EE3016D" w14:textId="63A1242F" w:rsidR="00903FBE" w:rsidRDefault="00903FBE" w:rsidP="00903FBE">
      <w:pPr>
        <w:pStyle w:val="ListParagraph"/>
        <w:numPr>
          <w:ilvl w:val="0"/>
          <w:numId w:val="35"/>
        </w:numPr>
        <w:spacing w:before="240" w:after="240"/>
        <w:jc w:val="both"/>
        <w:rPr>
          <w:rFonts w:ascii="Times New Roman" w:hAnsi="Times New Roman"/>
          <w:i/>
        </w:rPr>
      </w:pPr>
      <w:r>
        <w:rPr>
          <w:rFonts w:ascii="Times New Roman" w:hAnsi="Times New Roman"/>
          <w:i/>
        </w:rPr>
        <w:t>Consider</w:t>
      </w:r>
      <w:r w:rsidRPr="00903FBE">
        <w:rPr>
          <w:rFonts w:ascii="Times New Roman" w:hAnsi="Times New Roman"/>
          <w:i/>
        </w:rPr>
        <w:t xml:space="preserve"> the following alternatives to decrease UE-specific TA reporting overhead</w:t>
      </w:r>
    </w:p>
    <w:p w14:paraId="77EF9A67" w14:textId="04B194BF" w:rsidR="00903FBE" w:rsidRDefault="00903FBE" w:rsidP="00903FBE">
      <w:pPr>
        <w:pStyle w:val="ListParagraph"/>
        <w:numPr>
          <w:ilvl w:val="1"/>
          <w:numId w:val="35"/>
        </w:numPr>
        <w:spacing w:before="240" w:after="240"/>
        <w:jc w:val="both"/>
        <w:rPr>
          <w:rFonts w:ascii="Times New Roman" w:hAnsi="Times New Roman"/>
          <w:i/>
        </w:rPr>
      </w:pPr>
      <w:r w:rsidRPr="00903FBE">
        <w:rPr>
          <w:rFonts w:ascii="Times New Roman" w:hAnsi="Times New Roman"/>
          <w:i/>
        </w:rPr>
        <w:t xml:space="preserve">Alt 1. Reporting of information to extrapolate/interpolate UE-specific TA </w:t>
      </w:r>
      <w:r>
        <w:rPr>
          <w:rFonts w:ascii="Times New Roman" w:hAnsi="Times New Roman"/>
          <w:i/>
        </w:rPr>
        <w:t>(</w:t>
      </w:r>
      <w:proofErr w:type="gramStart"/>
      <w:r>
        <w:rPr>
          <w:rFonts w:ascii="Times New Roman" w:hAnsi="Times New Roman"/>
          <w:i/>
        </w:rPr>
        <w:t>e</w:t>
      </w:r>
      <w:r w:rsidRPr="00903FBE">
        <w:rPr>
          <w:rFonts w:ascii="Times New Roman" w:hAnsi="Times New Roman"/>
          <w:i/>
        </w:rPr>
        <w:t>.g.</w:t>
      </w:r>
      <w:proofErr w:type="gramEnd"/>
      <w:r w:rsidRPr="00903FBE">
        <w:rPr>
          <w:rFonts w:ascii="Times New Roman" w:hAnsi="Times New Roman"/>
          <w:i/>
        </w:rPr>
        <w:t xml:space="preserve"> series of values, 1st order derivative, etc.</w:t>
      </w:r>
      <w:r>
        <w:rPr>
          <w:rFonts w:ascii="Times New Roman" w:hAnsi="Times New Roman"/>
          <w:i/>
        </w:rPr>
        <w:t>)</w:t>
      </w:r>
    </w:p>
    <w:p w14:paraId="664C1440" w14:textId="37F61E27" w:rsidR="00903FBE" w:rsidRPr="00903FBE" w:rsidRDefault="00903FBE" w:rsidP="00903FBE">
      <w:pPr>
        <w:pStyle w:val="ListParagraph"/>
        <w:numPr>
          <w:ilvl w:val="1"/>
          <w:numId w:val="35"/>
        </w:numPr>
        <w:spacing w:before="240" w:after="240"/>
        <w:jc w:val="both"/>
        <w:rPr>
          <w:rFonts w:ascii="Times New Roman" w:hAnsi="Times New Roman"/>
          <w:i/>
        </w:rPr>
      </w:pPr>
      <w:r w:rsidRPr="00903FBE">
        <w:rPr>
          <w:rFonts w:ascii="Times New Roman" w:hAnsi="Times New Roman"/>
          <w:i/>
        </w:rPr>
        <w:t>Alt 2. Reporting of UE location (based on GNSS)</w:t>
      </w:r>
    </w:p>
    <w:p w14:paraId="75FD4718" w14:textId="7784BA73" w:rsidR="00770E9A" w:rsidRPr="00693AB7" w:rsidRDefault="00770E9A" w:rsidP="00770E9A">
      <w:pPr>
        <w:spacing w:before="240" w:after="240"/>
        <w:jc w:val="both"/>
        <w:rPr>
          <w:sz w:val="22"/>
          <w:szCs w:val="22"/>
        </w:rPr>
      </w:pPr>
      <w:r w:rsidRPr="00693AB7">
        <w:rPr>
          <w:iCs/>
          <w:sz w:val="22"/>
          <w:szCs w:val="22"/>
        </w:rPr>
        <w:t xml:space="preserve">In addition to the timing relationship </w:t>
      </w:r>
      <w:r w:rsidR="005C737D" w:rsidRPr="00693AB7">
        <w:rPr>
          <w:iCs/>
          <w:sz w:val="22"/>
          <w:szCs w:val="22"/>
        </w:rPr>
        <w:t>captured in Section 8 in TR 36.763</w:t>
      </w:r>
      <w:r w:rsidRPr="00693AB7">
        <w:rPr>
          <w:iCs/>
          <w:sz w:val="22"/>
          <w:szCs w:val="22"/>
        </w:rPr>
        <w:t xml:space="preserve"> for NB-IoT and eMTC NTN there is one more feature which may need such enhancement. For MPDCCH/NPDCCH ordered PRACH</w:t>
      </w:r>
      <w:r w:rsidR="00E832BC" w:rsidRPr="00693AB7">
        <w:rPr>
          <w:iCs/>
          <w:sz w:val="22"/>
          <w:szCs w:val="22"/>
        </w:rPr>
        <w:t>/NPRACH</w:t>
      </w:r>
      <w:r w:rsidRPr="00693AB7">
        <w:rPr>
          <w:iCs/>
          <w:sz w:val="22"/>
          <w:szCs w:val="22"/>
        </w:rPr>
        <w:t xml:space="preserve"> there may be an ambiguity at the </w:t>
      </w:r>
      <w:r w:rsidR="00A10F59" w:rsidRPr="00693AB7">
        <w:rPr>
          <w:iCs/>
          <w:sz w:val="22"/>
          <w:szCs w:val="22"/>
        </w:rPr>
        <w:t>e</w:t>
      </w:r>
      <w:r w:rsidRPr="00693AB7">
        <w:rPr>
          <w:iCs/>
          <w:sz w:val="22"/>
          <w:szCs w:val="22"/>
        </w:rPr>
        <w:t xml:space="preserve">NB side on the PRACH occasion selected by the UE. </w:t>
      </w:r>
      <w:proofErr w:type="gramStart"/>
      <w:r w:rsidRPr="00693AB7">
        <w:rPr>
          <w:iCs/>
          <w:sz w:val="22"/>
          <w:szCs w:val="22"/>
        </w:rPr>
        <w:t>In order to</w:t>
      </w:r>
      <w:proofErr w:type="gramEnd"/>
      <w:r w:rsidRPr="00693AB7">
        <w:rPr>
          <w:iCs/>
          <w:sz w:val="22"/>
          <w:szCs w:val="22"/>
        </w:rPr>
        <w:t xml:space="preserve"> avoid blind detection at the </w:t>
      </w:r>
      <w:r w:rsidR="00A10F59" w:rsidRPr="00693AB7">
        <w:rPr>
          <w:iCs/>
          <w:sz w:val="22"/>
          <w:szCs w:val="22"/>
        </w:rPr>
        <w:t>e</w:t>
      </w:r>
      <w:r w:rsidRPr="00693AB7">
        <w:rPr>
          <w:iCs/>
          <w:sz w:val="22"/>
          <w:szCs w:val="22"/>
        </w:rPr>
        <w:t>NB enhanc</w:t>
      </w:r>
      <w:r w:rsidR="00406B30" w:rsidRPr="00693AB7">
        <w:rPr>
          <w:iCs/>
          <w:sz w:val="22"/>
          <w:szCs w:val="22"/>
        </w:rPr>
        <w:t>e</w:t>
      </w:r>
      <w:r w:rsidRPr="00693AB7">
        <w:rPr>
          <w:iCs/>
          <w:sz w:val="22"/>
          <w:szCs w:val="22"/>
        </w:rPr>
        <w:t>me</w:t>
      </w:r>
      <w:r w:rsidR="00406B30" w:rsidRPr="00693AB7">
        <w:rPr>
          <w:iCs/>
          <w:sz w:val="22"/>
          <w:szCs w:val="22"/>
        </w:rPr>
        <w:t>n</w:t>
      </w:r>
      <w:r w:rsidRPr="00693AB7">
        <w:rPr>
          <w:iCs/>
          <w:sz w:val="22"/>
          <w:szCs w:val="22"/>
        </w:rPr>
        <w:t xml:space="preserve">ts </w:t>
      </w:r>
      <w:r w:rsidR="00406B30" w:rsidRPr="00693AB7">
        <w:rPr>
          <w:iCs/>
          <w:sz w:val="22"/>
          <w:szCs w:val="22"/>
        </w:rPr>
        <w:t xml:space="preserve">can be considered for MPDCCH/NPDCCH ordered </w:t>
      </w:r>
      <w:r w:rsidR="00E832BC" w:rsidRPr="00693AB7">
        <w:rPr>
          <w:iCs/>
          <w:sz w:val="22"/>
          <w:szCs w:val="22"/>
        </w:rPr>
        <w:t>PRACH/NPRACH</w:t>
      </w:r>
      <w:r w:rsidR="00406B30" w:rsidRPr="00693AB7">
        <w:rPr>
          <w:iCs/>
          <w:sz w:val="22"/>
          <w:szCs w:val="22"/>
        </w:rPr>
        <w:t xml:space="preserve">. </w:t>
      </w:r>
      <w:r w:rsidR="00406B30" w:rsidRPr="00693AB7">
        <w:rPr>
          <w:sz w:val="22"/>
          <w:szCs w:val="22"/>
        </w:rPr>
        <w:t xml:space="preserve">One solution is to follow the existing PRACH occasion selection design with reporting of UE-specific TA. If UE-specific TA is known at the </w:t>
      </w:r>
      <w:r w:rsidR="00A10F59" w:rsidRPr="00693AB7">
        <w:rPr>
          <w:sz w:val="22"/>
          <w:szCs w:val="22"/>
        </w:rPr>
        <w:t>e</w:t>
      </w:r>
      <w:r w:rsidR="00406B30" w:rsidRPr="00693AB7">
        <w:rPr>
          <w:sz w:val="22"/>
          <w:szCs w:val="22"/>
        </w:rPr>
        <w:t xml:space="preserve">NB, </w:t>
      </w:r>
      <w:r w:rsidR="00A10F59" w:rsidRPr="00693AB7">
        <w:rPr>
          <w:sz w:val="22"/>
          <w:szCs w:val="22"/>
        </w:rPr>
        <w:t>e</w:t>
      </w:r>
      <w:r w:rsidR="00406B30" w:rsidRPr="00693AB7">
        <w:rPr>
          <w:sz w:val="22"/>
          <w:szCs w:val="22"/>
        </w:rPr>
        <w:t xml:space="preserve">NB can determine the selected PRACH occasion. Another way to avoid blind decoding is to introduce K_offset for selection of PRACH occasion for MPDCCH/NPDCCH ordered PRACH/NPRACH at the UE. Thus, selection of PRACH occasion will not depend on the UE-specific TA value. </w:t>
      </w:r>
    </w:p>
    <w:p w14:paraId="4B41E900" w14:textId="3FC52F45" w:rsidR="00406B30" w:rsidRPr="00693AB7" w:rsidRDefault="00406B30" w:rsidP="00406B30">
      <w:pPr>
        <w:spacing w:before="240"/>
        <w:jc w:val="both"/>
        <w:rPr>
          <w:sz w:val="22"/>
          <w:szCs w:val="22"/>
        </w:rPr>
      </w:pPr>
      <w:r w:rsidRPr="00693AB7">
        <w:rPr>
          <w:b/>
          <w:bCs/>
          <w:i/>
          <w:iCs/>
          <w:sz w:val="22"/>
          <w:szCs w:val="22"/>
        </w:rPr>
        <w:t xml:space="preserve">Proposal </w:t>
      </w:r>
      <w:r w:rsidR="00693AB7">
        <w:rPr>
          <w:b/>
          <w:bCs/>
          <w:i/>
          <w:iCs/>
          <w:sz w:val="22"/>
          <w:szCs w:val="22"/>
        </w:rPr>
        <w:t>4</w:t>
      </w:r>
      <w:r w:rsidRPr="00693AB7">
        <w:rPr>
          <w:sz w:val="22"/>
          <w:szCs w:val="22"/>
        </w:rPr>
        <w:t xml:space="preserve">: </w:t>
      </w:r>
    </w:p>
    <w:p w14:paraId="3A9475C6" w14:textId="1B685858" w:rsidR="00406B30" w:rsidRPr="00693AB7" w:rsidRDefault="00C26BC7" w:rsidP="00406B30">
      <w:pPr>
        <w:numPr>
          <w:ilvl w:val="0"/>
          <w:numId w:val="40"/>
        </w:numPr>
        <w:overflowPunct/>
        <w:autoSpaceDE/>
        <w:autoSpaceDN/>
        <w:adjustRightInd/>
        <w:spacing w:before="240" w:after="0"/>
        <w:jc w:val="both"/>
        <w:textAlignment w:val="auto"/>
        <w:rPr>
          <w:rFonts w:eastAsia="Calibri"/>
          <w:i/>
          <w:sz w:val="22"/>
          <w:szCs w:val="22"/>
          <w:lang w:val="en-US"/>
        </w:rPr>
      </w:pPr>
      <w:r w:rsidRPr="00693AB7">
        <w:rPr>
          <w:rFonts w:eastAsia="Calibri"/>
          <w:i/>
          <w:sz w:val="22"/>
          <w:szCs w:val="22"/>
          <w:lang w:val="en-US"/>
        </w:rPr>
        <w:t>M</w:t>
      </w:r>
      <w:r w:rsidR="00406B30" w:rsidRPr="00693AB7">
        <w:rPr>
          <w:rFonts w:eastAsia="Calibri"/>
          <w:i/>
          <w:sz w:val="22"/>
          <w:szCs w:val="22"/>
          <w:lang w:val="en-US"/>
        </w:rPr>
        <w:t>PDCCH</w:t>
      </w:r>
      <w:r w:rsidRPr="00693AB7">
        <w:rPr>
          <w:rFonts w:eastAsia="Calibri"/>
          <w:i/>
          <w:sz w:val="22"/>
          <w:szCs w:val="22"/>
          <w:lang w:val="en-US"/>
        </w:rPr>
        <w:t>/NPDCCH</w:t>
      </w:r>
      <w:r w:rsidR="00406B30" w:rsidRPr="00693AB7">
        <w:rPr>
          <w:rFonts w:eastAsia="Calibri"/>
          <w:i/>
          <w:sz w:val="22"/>
          <w:szCs w:val="22"/>
          <w:lang w:val="en-US"/>
        </w:rPr>
        <w:t xml:space="preserve"> ordered PRACH</w:t>
      </w:r>
      <w:r w:rsidRPr="00693AB7">
        <w:rPr>
          <w:rFonts w:eastAsia="Calibri"/>
          <w:i/>
          <w:sz w:val="22"/>
          <w:szCs w:val="22"/>
          <w:lang w:val="en-US"/>
        </w:rPr>
        <w:t>/NPRACH</w:t>
      </w:r>
      <w:r w:rsidR="00406B30" w:rsidRPr="00693AB7">
        <w:rPr>
          <w:rFonts w:eastAsia="Calibri"/>
          <w:i/>
          <w:sz w:val="22"/>
          <w:szCs w:val="22"/>
          <w:lang w:val="en-US"/>
        </w:rPr>
        <w:t xml:space="preserve"> should be supported for NTN without blind detection at the </w:t>
      </w:r>
      <w:r w:rsidRPr="00693AB7">
        <w:rPr>
          <w:rFonts w:eastAsia="Calibri"/>
          <w:i/>
          <w:sz w:val="22"/>
          <w:szCs w:val="22"/>
          <w:lang w:val="en-US"/>
        </w:rPr>
        <w:t>e</w:t>
      </w:r>
      <w:r w:rsidR="00406B30" w:rsidRPr="00693AB7">
        <w:rPr>
          <w:rFonts w:eastAsia="Calibri"/>
          <w:i/>
          <w:sz w:val="22"/>
          <w:szCs w:val="22"/>
          <w:lang w:val="en-US"/>
        </w:rPr>
        <w:t>NB</w:t>
      </w:r>
    </w:p>
    <w:p w14:paraId="6C76FF6C" w14:textId="041353F3" w:rsidR="00406B30" w:rsidRPr="00693AB7" w:rsidRDefault="00406B30" w:rsidP="00406B30">
      <w:pPr>
        <w:numPr>
          <w:ilvl w:val="1"/>
          <w:numId w:val="40"/>
        </w:numPr>
        <w:overflowPunct/>
        <w:autoSpaceDE/>
        <w:autoSpaceDN/>
        <w:adjustRightInd/>
        <w:spacing w:before="240" w:after="0"/>
        <w:jc w:val="both"/>
        <w:textAlignment w:val="auto"/>
        <w:rPr>
          <w:rFonts w:eastAsia="Calibri"/>
          <w:i/>
          <w:sz w:val="22"/>
          <w:szCs w:val="22"/>
          <w:lang w:val="en-US"/>
        </w:rPr>
      </w:pPr>
      <w:r w:rsidRPr="00693AB7">
        <w:rPr>
          <w:rFonts w:eastAsia="Calibri"/>
          <w:i/>
          <w:sz w:val="22"/>
          <w:szCs w:val="22"/>
          <w:lang w:val="en-US"/>
        </w:rPr>
        <w:t xml:space="preserve">Alt. 1: PRACH occasion is determined at the </w:t>
      </w:r>
      <w:r w:rsidR="00C26BC7" w:rsidRPr="00693AB7">
        <w:rPr>
          <w:rFonts w:eastAsia="Calibri"/>
          <w:i/>
          <w:sz w:val="22"/>
          <w:szCs w:val="22"/>
          <w:lang w:val="en-US"/>
        </w:rPr>
        <w:t>e</w:t>
      </w:r>
      <w:r w:rsidRPr="00693AB7">
        <w:rPr>
          <w:rFonts w:eastAsia="Calibri"/>
          <w:i/>
          <w:sz w:val="22"/>
          <w:szCs w:val="22"/>
          <w:lang w:val="en-US"/>
        </w:rPr>
        <w:t>NB based on UE-specific TA reported by the UE</w:t>
      </w:r>
    </w:p>
    <w:p w14:paraId="779AFAE2" w14:textId="797DD0FE" w:rsidR="00406B30" w:rsidRDefault="00406B30" w:rsidP="004677EF">
      <w:pPr>
        <w:numPr>
          <w:ilvl w:val="1"/>
          <w:numId w:val="40"/>
        </w:numPr>
        <w:overflowPunct/>
        <w:autoSpaceDE/>
        <w:autoSpaceDN/>
        <w:adjustRightInd/>
        <w:spacing w:before="240"/>
        <w:jc w:val="both"/>
        <w:textAlignment w:val="auto"/>
        <w:rPr>
          <w:rFonts w:eastAsia="Calibri"/>
          <w:i/>
          <w:sz w:val="22"/>
          <w:szCs w:val="22"/>
          <w:lang w:val="en-US"/>
        </w:rPr>
      </w:pPr>
      <w:r w:rsidRPr="00693AB7">
        <w:rPr>
          <w:rFonts w:eastAsia="Calibri"/>
          <w:i/>
          <w:sz w:val="22"/>
          <w:szCs w:val="22"/>
          <w:lang w:val="en-US"/>
        </w:rPr>
        <w:t>Alt. 2: UE selects PRACH occasion based on slot offset K_offset</w:t>
      </w:r>
    </w:p>
    <w:p w14:paraId="6AC7A079" w14:textId="460FD7A4" w:rsidR="00AC6F52" w:rsidRDefault="00FA2811" w:rsidP="00AC6F52">
      <w:pPr>
        <w:overflowPunct/>
        <w:autoSpaceDE/>
        <w:autoSpaceDN/>
        <w:adjustRightInd/>
        <w:spacing w:before="240"/>
        <w:jc w:val="both"/>
        <w:textAlignment w:val="auto"/>
        <w:rPr>
          <w:rFonts w:eastAsia="Calibri"/>
          <w:iCs/>
          <w:sz w:val="22"/>
          <w:szCs w:val="22"/>
          <w:lang w:val="en-US"/>
        </w:rPr>
      </w:pPr>
      <w:r>
        <w:rPr>
          <w:rFonts w:eastAsia="Calibri"/>
          <w:iCs/>
          <w:sz w:val="22"/>
          <w:szCs w:val="22"/>
          <w:lang w:val="en-US"/>
        </w:rPr>
        <w:t>One of the issues which is considered for NR NTN is the indication of K_offset. Basically, K_offset can be divided into two parts, where one of the K_offset parts is equal to the Common TA. This can be used to decrease K_offset and Common TA indication overhead. We propose to consider this issue for IoT-NTN.</w:t>
      </w:r>
    </w:p>
    <w:p w14:paraId="68D07888" w14:textId="4F6442BB" w:rsidR="00FA2811" w:rsidRPr="00FA2811" w:rsidRDefault="00FA2811" w:rsidP="00AC6F52">
      <w:pPr>
        <w:overflowPunct/>
        <w:autoSpaceDE/>
        <w:autoSpaceDN/>
        <w:adjustRightInd/>
        <w:spacing w:before="240"/>
        <w:jc w:val="both"/>
        <w:textAlignment w:val="auto"/>
        <w:rPr>
          <w:rFonts w:eastAsia="Calibri"/>
          <w:i/>
          <w:sz w:val="22"/>
          <w:szCs w:val="22"/>
          <w:lang w:val="en-US"/>
        </w:rPr>
      </w:pPr>
      <w:r w:rsidRPr="00FA2811">
        <w:rPr>
          <w:rFonts w:eastAsia="Calibri"/>
          <w:b/>
          <w:bCs/>
          <w:i/>
          <w:sz w:val="22"/>
          <w:szCs w:val="22"/>
          <w:lang w:val="en-US"/>
        </w:rPr>
        <w:t>Proposal 5</w:t>
      </w:r>
      <w:r w:rsidRPr="00FA2811">
        <w:rPr>
          <w:rFonts w:eastAsia="Calibri"/>
          <w:i/>
          <w:sz w:val="22"/>
          <w:szCs w:val="22"/>
          <w:lang w:val="en-US"/>
        </w:rPr>
        <w:t xml:space="preserve">: </w:t>
      </w:r>
    </w:p>
    <w:p w14:paraId="5E4F6FAA" w14:textId="77777777" w:rsidR="00FA2811" w:rsidRPr="00FA2811" w:rsidRDefault="00FA2811" w:rsidP="00FA2811">
      <w:pPr>
        <w:pStyle w:val="ListParagraph"/>
        <w:numPr>
          <w:ilvl w:val="0"/>
          <w:numId w:val="40"/>
        </w:numPr>
        <w:spacing w:before="240"/>
        <w:jc w:val="both"/>
        <w:rPr>
          <w:rFonts w:ascii="Times New Roman" w:hAnsi="Times New Roman"/>
          <w:i/>
        </w:rPr>
      </w:pPr>
      <w:r w:rsidRPr="00FA2811">
        <w:rPr>
          <w:rFonts w:ascii="Times New Roman" w:hAnsi="Times New Roman"/>
          <w:i/>
        </w:rPr>
        <w:t xml:space="preserve">Consider the following options for K_offset indication </w:t>
      </w:r>
    </w:p>
    <w:p w14:paraId="5572BAF1" w14:textId="5189D21E" w:rsidR="00FA2811" w:rsidRPr="00FA2811" w:rsidRDefault="00FA2811" w:rsidP="00FA2811">
      <w:pPr>
        <w:pStyle w:val="ListParagraph"/>
        <w:numPr>
          <w:ilvl w:val="1"/>
          <w:numId w:val="40"/>
        </w:numPr>
        <w:spacing w:before="240"/>
        <w:jc w:val="both"/>
        <w:rPr>
          <w:rFonts w:ascii="Times New Roman" w:hAnsi="Times New Roman"/>
          <w:i/>
        </w:rPr>
      </w:pPr>
      <w:r w:rsidRPr="00FA2811">
        <w:rPr>
          <w:rFonts w:ascii="Times New Roman" w:hAnsi="Times New Roman"/>
          <w:i/>
        </w:rPr>
        <w:lastRenderedPageBreak/>
        <w:t xml:space="preserve">Alt. 1: Single K_offset value is indicated </w:t>
      </w:r>
    </w:p>
    <w:p w14:paraId="2C3AAEDF" w14:textId="2AA410DC" w:rsidR="00FA2811" w:rsidRPr="00FA2811" w:rsidRDefault="00FA2811" w:rsidP="00FA2811">
      <w:pPr>
        <w:pStyle w:val="ListParagraph"/>
        <w:numPr>
          <w:ilvl w:val="1"/>
          <w:numId w:val="40"/>
        </w:numPr>
        <w:spacing w:before="240"/>
        <w:jc w:val="both"/>
        <w:rPr>
          <w:rFonts w:ascii="Times New Roman" w:hAnsi="Times New Roman"/>
          <w:i/>
        </w:rPr>
      </w:pPr>
      <w:r w:rsidRPr="00FA2811">
        <w:rPr>
          <w:rFonts w:ascii="Times New Roman" w:hAnsi="Times New Roman"/>
          <w:i/>
        </w:rPr>
        <w:t>Alt. 2: Two K_offset values corresponding to service link and feeder link are indicated separately</w:t>
      </w:r>
    </w:p>
    <w:p w14:paraId="5460D547" w14:textId="39988BDF" w:rsidR="00FA2811" w:rsidRPr="00FA2811" w:rsidRDefault="00FA2811" w:rsidP="00FA2811">
      <w:pPr>
        <w:pStyle w:val="ListParagraph"/>
        <w:numPr>
          <w:ilvl w:val="2"/>
          <w:numId w:val="40"/>
        </w:numPr>
        <w:spacing w:before="240"/>
        <w:jc w:val="both"/>
        <w:rPr>
          <w:rFonts w:ascii="Times New Roman" w:hAnsi="Times New Roman"/>
          <w:i/>
        </w:rPr>
      </w:pPr>
      <w:r w:rsidRPr="00FA2811">
        <w:rPr>
          <w:rFonts w:ascii="Times New Roman" w:hAnsi="Times New Roman"/>
          <w:i/>
        </w:rPr>
        <w:t>FFS: Implicit determination of K_offset for feeder link from Common TA (or vice versa)</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422FF44C" w:rsidR="00E17F6E" w:rsidRDefault="00E17F6E" w:rsidP="00C73CBB">
      <w:pPr>
        <w:jc w:val="both"/>
        <w:rPr>
          <w:sz w:val="22"/>
          <w:szCs w:val="22"/>
        </w:rPr>
      </w:pPr>
      <w:r w:rsidRPr="000B4ADF">
        <w:rPr>
          <w:sz w:val="22"/>
          <w:szCs w:val="22"/>
          <w:lang w:eastAsia="ko-KR"/>
        </w:rPr>
        <w:t>In this contribution aspects related to</w:t>
      </w:r>
      <w:r w:rsidR="00B85A0D">
        <w:rPr>
          <w:sz w:val="22"/>
          <w:szCs w:val="22"/>
          <w:lang w:eastAsia="ko-KR"/>
        </w:rPr>
        <w:t xml:space="preserve"> timing relationship</w:t>
      </w:r>
      <w:r w:rsidRPr="000B4ADF">
        <w:rPr>
          <w:sz w:val="22"/>
          <w:szCs w:val="22"/>
          <w:lang w:eastAsia="ko-KR"/>
        </w:rPr>
        <w:t xml:space="preserve"> </w:t>
      </w:r>
      <w:r w:rsidR="00435F07">
        <w:rPr>
          <w:sz w:val="22"/>
          <w:szCs w:val="22"/>
          <w:lang w:eastAsia="ko-KR"/>
        </w:rPr>
        <w:t>enhancements for NB-IoT/eMTC NTN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w:t>
      </w:r>
      <w:r w:rsidR="00411A71">
        <w:rPr>
          <w:sz w:val="22"/>
          <w:szCs w:val="22"/>
        </w:rPr>
        <w:t xml:space="preserve"> </w:t>
      </w:r>
      <w:r w:rsidR="00175F6A">
        <w:rPr>
          <w:sz w:val="22"/>
          <w:szCs w:val="22"/>
        </w:rPr>
        <w:t>were</w:t>
      </w:r>
      <w:r>
        <w:rPr>
          <w:sz w:val="22"/>
          <w:szCs w:val="22"/>
        </w:rPr>
        <w:t xml:space="preserve"> made.</w:t>
      </w:r>
    </w:p>
    <w:p w14:paraId="53FE6658" w14:textId="77777777" w:rsidR="00E80CD7" w:rsidRPr="00AB03CE" w:rsidRDefault="00E80CD7" w:rsidP="00E80CD7">
      <w:pPr>
        <w:spacing w:before="240" w:after="240"/>
        <w:jc w:val="both"/>
        <w:rPr>
          <w:b/>
          <w:bCs/>
          <w:i/>
          <w:sz w:val="22"/>
          <w:szCs w:val="22"/>
        </w:rPr>
      </w:pPr>
      <w:r w:rsidRPr="00AB03CE">
        <w:rPr>
          <w:b/>
          <w:bCs/>
          <w:i/>
          <w:sz w:val="22"/>
          <w:szCs w:val="22"/>
        </w:rPr>
        <w:t xml:space="preserve">Proposal 1: </w:t>
      </w:r>
    </w:p>
    <w:p w14:paraId="61A918C8" w14:textId="77777777" w:rsidR="00E80CD7" w:rsidRPr="00C77556" w:rsidRDefault="00E80CD7" w:rsidP="00E80CD7">
      <w:pPr>
        <w:pStyle w:val="ListParagraph"/>
        <w:numPr>
          <w:ilvl w:val="0"/>
          <w:numId w:val="41"/>
        </w:numPr>
        <w:spacing w:before="240" w:after="240"/>
        <w:jc w:val="both"/>
        <w:rPr>
          <w:rFonts w:ascii="Times New Roman" w:hAnsi="Times New Roman"/>
          <w:i/>
          <w:iCs/>
          <w:lang w:eastAsia="ko-KR"/>
        </w:rPr>
      </w:pPr>
      <w:r w:rsidRPr="00C77556">
        <w:rPr>
          <w:rFonts w:ascii="Times New Roman" w:hAnsi="Times New Roman"/>
          <w:i/>
          <w:iCs/>
          <w:color w:val="000000"/>
          <w:shd w:val="clear" w:color="auto" w:fill="FFFFFF"/>
        </w:rPr>
        <w:t xml:space="preserve">Support additional common slot offset K_offset for the Timing relationships for NB-IoT / eMTC listed in Section 6.6.3 in TR 36.763 </w:t>
      </w:r>
    </w:p>
    <w:p w14:paraId="2F289031" w14:textId="77777777" w:rsidR="00E80CD7" w:rsidRPr="00C77556" w:rsidRDefault="00E80CD7" w:rsidP="00E80CD7">
      <w:pPr>
        <w:pStyle w:val="ListParagraph"/>
        <w:numPr>
          <w:ilvl w:val="1"/>
          <w:numId w:val="41"/>
        </w:numPr>
        <w:spacing w:before="240" w:after="240"/>
        <w:jc w:val="both"/>
        <w:rPr>
          <w:rFonts w:ascii="Times New Roman" w:hAnsi="Times New Roman"/>
          <w:i/>
          <w:iCs/>
          <w:lang w:eastAsia="ko-KR"/>
        </w:rPr>
      </w:pPr>
      <w:r w:rsidRPr="00C77556">
        <w:rPr>
          <w:rFonts w:ascii="Times New Roman" w:hAnsi="Times New Roman"/>
          <w:i/>
          <w:iCs/>
          <w:color w:val="000000"/>
          <w:shd w:val="clear" w:color="auto" w:fill="FFFFFF"/>
        </w:rPr>
        <w:t>Support at least cell-specific configuration of K_offset</w:t>
      </w:r>
      <w:r>
        <w:rPr>
          <w:rFonts w:ascii="Times New Roman" w:hAnsi="Times New Roman"/>
          <w:i/>
          <w:iCs/>
          <w:color w:val="000000"/>
          <w:shd w:val="clear" w:color="auto" w:fill="FFFFFF"/>
        </w:rPr>
        <w:t>; FFS: UE</w:t>
      </w:r>
      <w:r w:rsidRPr="008C583E">
        <w:rPr>
          <w:rFonts w:ascii="Times New Roman" w:hAnsi="Times New Roman"/>
          <w:i/>
          <w:iCs/>
          <w:color w:val="000000"/>
          <w:shd w:val="clear" w:color="auto" w:fill="FFFFFF"/>
        </w:rPr>
        <w:t>-specific configuration of K_offset</w:t>
      </w:r>
    </w:p>
    <w:p w14:paraId="57917D47" w14:textId="77777777" w:rsidR="00E80CD7" w:rsidRPr="000A46C9" w:rsidRDefault="00E80CD7" w:rsidP="00E80CD7">
      <w:pPr>
        <w:spacing w:before="240" w:after="240"/>
        <w:jc w:val="both"/>
        <w:rPr>
          <w:iCs/>
          <w:sz w:val="22"/>
          <w:szCs w:val="22"/>
        </w:rPr>
      </w:pPr>
      <w:r w:rsidRPr="000A46C9">
        <w:rPr>
          <w:b/>
          <w:bCs/>
          <w:i/>
          <w:sz w:val="22"/>
          <w:szCs w:val="22"/>
        </w:rPr>
        <w:t xml:space="preserve">Proposal </w:t>
      </w:r>
      <w:r>
        <w:rPr>
          <w:b/>
          <w:bCs/>
          <w:i/>
          <w:sz w:val="22"/>
          <w:szCs w:val="22"/>
        </w:rPr>
        <w:t>2</w:t>
      </w:r>
      <w:r w:rsidRPr="000A46C9">
        <w:rPr>
          <w:iCs/>
          <w:sz w:val="22"/>
          <w:szCs w:val="22"/>
        </w:rPr>
        <w:t xml:space="preserve">: </w:t>
      </w:r>
    </w:p>
    <w:p w14:paraId="037FF77F" w14:textId="77777777" w:rsidR="00E80CD7" w:rsidRDefault="00E80CD7" w:rsidP="00E80CD7">
      <w:pPr>
        <w:pStyle w:val="ListParagraph"/>
        <w:numPr>
          <w:ilvl w:val="0"/>
          <w:numId w:val="35"/>
        </w:numPr>
        <w:spacing w:before="240" w:after="240"/>
        <w:jc w:val="both"/>
        <w:rPr>
          <w:rFonts w:ascii="Times New Roman" w:hAnsi="Times New Roman"/>
          <w:i/>
        </w:rPr>
      </w:pPr>
      <w:r w:rsidRPr="000A46C9">
        <w:rPr>
          <w:rFonts w:ascii="Times New Roman" w:hAnsi="Times New Roman"/>
          <w:i/>
        </w:rPr>
        <w:t xml:space="preserve">Reporting of </w:t>
      </w:r>
      <w:r>
        <w:rPr>
          <w:rFonts w:ascii="Times New Roman" w:hAnsi="Times New Roman"/>
          <w:i/>
        </w:rPr>
        <w:t xml:space="preserve">UE-specific </w:t>
      </w:r>
      <w:r w:rsidRPr="000A46C9">
        <w:rPr>
          <w:rFonts w:ascii="Times New Roman" w:hAnsi="Times New Roman"/>
          <w:i/>
        </w:rPr>
        <w:t>TA calculated based on GNSS information and satellite ephemeris is necessary to enable half-duplex FDD operation</w:t>
      </w:r>
    </w:p>
    <w:p w14:paraId="5F46696C" w14:textId="77777777" w:rsidR="00E80CD7" w:rsidRDefault="00E80CD7" w:rsidP="00E80CD7">
      <w:pPr>
        <w:pStyle w:val="ListParagraph"/>
        <w:numPr>
          <w:ilvl w:val="1"/>
          <w:numId w:val="35"/>
        </w:numPr>
        <w:spacing w:before="240" w:after="240"/>
        <w:jc w:val="both"/>
        <w:rPr>
          <w:rFonts w:ascii="Times New Roman" w:hAnsi="Times New Roman"/>
          <w:i/>
        </w:rPr>
      </w:pPr>
      <w:r>
        <w:rPr>
          <w:rFonts w:ascii="Times New Roman" w:hAnsi="Times New Roman"/>
          <w:i/>
        </w:rPr>
        <w:t>Subframe-level granularity can be considered for reporting</w:t>
      </w:r>
    </w:p>
    <w:p w14:paraId="6973CA62" w14:textId="77777777" w:rsidR="00E80CD7" w:rsidRDefault="00E80CD7" w:rsidP="00E80CD7">
      <w:pPr>
        <w:spacing w:before="240" w:after="240"/>
        <w:jc w:val="both"/>
        <w:rPr>
          <w:b/>
          <w:bCs/>
          <w:i/>
          <w:sz w:val="22"/>
          <w:szCs w:val="22"/>
        </w:rPr>
      </w:pPr>
      <w:r w:rsidRPr="00903FBE">
        <w:rPr>
          <w:b/>
          <w:bCs/>
          <w:i/>
          <w:sz w:val="22"/>
          <w:szCs w:val="22"/>
        </w:rPr>
        <w:t xml:space="preserve">Proposal 3: </w:t>
      </w:r>
    </w:p>
    <w:p w14:paraId="1A2810FB" w14:textId="77777777" w:rsidR="00E80CD7" w:rsidRDefault="00E80CD7" w:rsidP="00E80CD7">
      <w:pPr>
        <w:pStyle w:val="ListParagraph"/>
        <w:numPr>
          <w:ilvl w:val="0"/>
          <w:numId w:val="35"/>
        </w:numPr>
        <w:spacing w:before="240" w:after="240"/>
        <w:jc w:val="both"/>
        <w:rPr>
          <w:rFonts w:ascii="Times New Roman" w:hAnsi="Times New Roman"/>
          <w:i/>
        </w:rPr>
      </w:pPr>
      <w:r>
        <w:rPr>
          <w:rFonts w:ascii="Times New Roman" w:hAnsi="Times New Roman"/>
          <w:i/>
        </w:rPr>
        <w:t>Consider</w:t>
      </w:r>
      <w:r w:rsidRPr="00903FBE">
        <w:rPr>
          <w:rFonts w:ascii="Times New Roman" w:hAnsi="Times New Roman"/>
          <w:i/>
        </w:rPr>
        <w:t xml:space="preserve"> the following alternatives to decrease UE-specific TA reporting overhead</w:t>
      </w:r>
    </w:p>
    <w:p w14:paraId="0E203EEF" w14:textId="77777777" w:rsidR="00E80CD7" w:rsidRDefault="00E80CD7" w:rsidP="00E80CD7">
      <w:pPr>
        <w:pStyle w:val="ListParagraph"/>
        <w:numPr>
          <w:ilvl w:val="1"/>
          <w:numId w:val="35"/>
        </w:numPr>
        <w:spacing w:before="240" w:after="240"/>
        <w:jc w:val="both"/>
        <w:rPr>
          <w:rFonts w:ascii="Times New Roman" w:hAnsi="Times New Roman"/>
          <w:i/>
        </w:rPr>
      </w:pPr>
      <w:r w:rsidRPr="00903FBE">
        <w:rPr>
          <w:rFonts w:ascii="Times New Roman" w:hAnsi="Times New Roman"/>
          <w:i/>
        </w:rPr>
        <w:t xml:space="preserve">Alt 1. Reporting of information to extrapolate/interpolate UE-specific TA </w:t>
      </w:r>
      <w:r>
        <w:rPr>
          <w:rFonts w:ascii="Times New Roman" w:hAnsi="Times New Roman"/>
          <w:i/>
        </w:rPr>
        <w:t>(</w:t>
      </w:r>
      <w:proofErr w:type="gramStart"/>
      <w:r>
        <w:rPr>
          <w:rFonts w:ascii="Times New Roman" w:hAnsi="Times New Roman"/>
          <w:i/>
        </w:rPr>
        <w:t>e</w:t>
      </w:r>
      <w:r w:rsidRPr="00903FBE">
        <w:rPr>
          <w:rFonts w:ascii="Times New Roman" w:hAnsi="Times New Roman"/>
          <w:i/>
        </w:rPr>
        <w:t>.g.</w:t>
      </w:r>
      <w:proofErr w:type="gramEnd"/>
      <w:r w:rsidRPr="00903FBE">
        <w:rPr>
          <w:rFonts w:ascii="Times New Roman" w:hAnsi="Times New Roman"/>
          <w:i/>
        </w:rPr>
        <w:t xml:space="preserve"> series of values, 1st order derivative, etc.</w:t>
      </w:r>
      <w:r>
        <w:rPr>
          <w:rFonts w:ascii="Times New Roman" w:hAnsi="Times New Roman"/>
          <w:i/>
        </w:rPr>
        <w:t>)</w:t>
      </w:r>
    </w:p>
    <w:p w14:paraId="061B10D3" w14:textId="77777777" w:rsidR="00E80CD7" w:rsidRPr="00903FBE" w:rsidRDefault="00E80CD7" w:rsidP="00E80CD7">
      <w:pPr>
        <w:pStyle w:val="ListParagraph"/>
        <w:numPr>
          <w:ilvl w:val="1"/>
          <w:numId w:val="35"/>
        </w:numPr>
        <w:spacing w:before="240" w:after="240"/>
        <w:jc w:val="both"/>
        <w:rPr>
          <w:rFonts w:ascii="Times New Roman" w:hAnsi="Times New Roman"/>
          <w:i/>
        </w:rPr>
      </w:pPr>
      <w:r w:rsidRPr="00903FBE">
        <w:rPr>
          <w:rFonts w:ascii="Times New Roman" w:hAnsi="Times New Roman"/>
          <w:i/>
        </w:rPr>
        <w:t>Alt 2. Reporting of UE location (based on GNSS)</w:t>
      </w:r>
    </w:p>
    <w:p w14:paraId="420B78D2" w14:textId="77777777" w:rsidR="00E80CD7" w:rsidRPr="00693AB7" w:rsidRDefault="00E80CD7" w:rsidP="00E80CD7">
      <w:pPr>
        <w:spacing w:before="240"/>
        <w:jc w:val="both"/>
        <w:rPr>
          <w:sz w:val="22"/>
          <w:szCs w:val="22"/>
        </w:rPr>
      </w:pPr>
      <w:r w:rsidRPr="00693AB7">
        <w:rPr>
          <w:b/>
          <w:bCs/>
          <w:i/>
          <w:iCs/>
          <w:sz w:val="22"/>
          <w:szCs w:val="22"/>
        </w:rPr>
        <w:t xml:space="preserve">Proposal </w:t>
      </w:r>
      <w:r>
        <w:rPr>
          <w:b/>
          <w:bCs/>
          <w:i/>
          <w:iCs/>
          <w:sz w:val="22"/>
          <w:szCs w:val="22"/>
        </w:rPr>
        <w:t>4</w:t>
      </w:r>
      <w:r w:rsidRPr="00693AB7">
        <w:rPr>
          <w:sz w:val="22"/>
          <w:szCs w:val="22"/>
        </w:rPr>
        <w:t xml:space="preserve">: </w:t>
      </w:r>
    </w:p>
    <w:p w14:paraId="4D26D8BF" w14:textId="77777777" w:rsidR="00E80CD7" w:rsidRPr="00693AB7" w:rsidRDefault="00E80CD7" w:rsidP="00E80CD7">
      <w:pPr>
        <w:numPr>
          <w:ilvl w:val="0"/>
          <w:numId w:val="40"/>
        </w:numPr>
        <w:overflowPunct/>
        <w:autoSpaceDE/>
        <w:autoSpaceDN/>
        <w:adjustRightInd/>
        <w:spacing w:before="240" w:after="0"/>
        <w:jc w:val="both"/>
        <w:textAlignment w:val="auto"/>
        <w:rPr>
          <w:rFonts w:eastAsia="Calibri"/>
          <w:i/>
          <w:sz w:val="22"/>
          <w:szCs w:val="22"/>
          <w:lang w:val="en-US"/>
        </w:rPr>
      </w:pPr>
      <w:r w:rsidRPr="00693AB7">
        <w:rPr>
          <w:rFonts w:eastAsia="Calibri"/>
          <w:i/>
          <w:sz w:val="22"/>
          <w:szCs w:val="22"/>
          <w:lang w:val="en-US"/>
        </w:rPr>
        <w:t>MPDCCH/NPDCCH ordered PRACH/NPRACH should be supported for NTN without blind detection at the eNB</w:t>
      </w:r>
    </w:p>
    <w:p w14:paraId="6655E3A9" w14:textId="77777777" w:rsidR="00E80CD7" w:rsidRPr="00693AB7" w:rsidRDefault="00E80CD7" w:rsidP="00E80CD7">
      <w:pPr>
        <w:numPr>
          <w:ilvl w:val="1"/>
          <w:numId w:val="40"/>
        </w:numPr>
        <w:overflowPunct/>
        <w:autoSpaceDE/>
        <w:autoSpaceDN/>
        <w:adjustRightInd/>
        <w:spacing w:before="240" w:after="0"/>
        <w:jc w:val="both"/>
        <w:textAlignment w:val="auto"/>
        <w:rPr>
          <w:rFonts w:eastAsia="Calibri"/>
          <w:i/>
          <w:sz w:val="22"/>
          <w:szCs w:val="22"/>
          <w:lang w:val="en-US"/>
        </w:rPr>
      </w:pPr>
      <w:r w:rsidRPr="00693AB7">
        <w:rPr>
          <w:rFonts w:eastAsia="Calibri"/>
          <w:i/>
          <w:sz w:val="22"/>
          <w:szCs w:val="22"/>
          <w:lang w:val="en-US"/>
        </w:rPr>
        <w:t>Alt. 1: PRACH occasion is determined at the eNB based on UE-specific TA reported by the UE</w:t>
      </w:r>
    </w:p>
    <w:p w14:paraId="080BC727" w14:textId="77777777" w:rsidR="00E80CD7" w:rsidRDefault="00E80CD7" w:rsidP="00E80CD7">
      <w:pPr>
        <w:numPr>
          <w:ilvl w:val="1"/>
          <w:numId w:val="40"/>
        </w:numPr>
        <w:overflowPunct/>
        <w:autoSpaceDE/>
        <w:autoSpaceDN/>
        <w:adjustRightInd/>
        <w:spacing w:before="240"/>
        <w:jc w:val="both"/>
        <w:textAlignment w:val="auto"/>
        <w:rPr>
          <w:rFonts w:eastAsia="Calibri"/>
          <w:i/>
          <w:sz w:val="22"/>
          <w:szCs w:val="22"/>
          <w:lang w:val="en-US"/>
        </w:rPr>
      </w:pPr>
      <w:r w:rsidRPr="00693AB7">
        <w:rPr>
          <w:rFonts w:eastAsia="Calibri"/>
          <w:i/>
          <w:sz w:val="22"/>
          <w:szCs w:val="22"/>
          <w:lang w:val="en-US"/>
        </w:rPr>
        <w:t>Alt. 2: UE selects PRACH occasion based on slot offset K_offset</w:t>
      </w:r>
    </w:p>
    <w:p w14:paraId="30298D09" w14:textId="77777777" w:rsidR="00E80CD7" w:rsidRPr="00FA2811" w:rsidRDefault="00E80CD7" w:rsidP="00E80CD7">
      <w:pPr>
        <w:overflowPunct/>
        <w:autoSpaceDE/>
        <w:autoSpaceDN/>
        <w:adjustRightInd/>
        <w:spacing w:before="240"/>
        <w:jc w:val="both"/>
        <w:textAlignment w:val="auto"/>
        <w:rPr>
          <w:rFonts w:eastAsia="Calibri"/>
          <w:i/>
          <w:sz w:val="22"/>
          <w:szCs w:val="22"/>
          <w:lang w:val="en-US"/>
        </w:rPr>
      </w:pPr>
      <w:r w:rsidRPr="00FA2811">
        <w:rPr>
          <w:rFonts w:eastAsia="Calibri"/>
          <w:b/>
          <w:bCs/>
          <w:i/>
          <w:sz w:val="22"/>
          <w:szCs w:val="22"/>
          <w:lang w:val="en-US"/>
        </w:rPr>
        <w:t>Proposal 5</w:t>
      </w:r>
      <w:r w:rsidRPr="00FA2811">
        <w:rPr>
          <w:rFonts w:eastAsia="Calibri"/>
          <w:i/>
          <w:sz w:val="22"/>
          <w:szCs w:val="22"/>
          <w:lang w:val="en-US"/>
        </w:rPr>
        <w:t xml:space="preserve">: </w:t>
      </w:r>
    </w:p>
    <w:p w14:paraId="45144F43" w14:textId="77777777" w:rsidR="00E80CD7" w:rsidRPr="00FA2811" w:rsidRDefault="00E80CD7" w:rsidP="00E80CD7">
      <w:pPr>
        <w:pStyle w:val="ListParagraph"/>
        <w:numPr>
          <w:ilvl w:val="0"/>
          <w:numId w:val="40"/>
        </w:numPr>
        <w:spacing w:before="240"/>
        <w:jc w:val="both"/>
        <w:rPr>
          <w:rFonts w:ascii="Times New Roman" w:hAnsi="Times New Roman"/>
          <w:i/>
        </w:rPr>
      </w:pPr>
      <w:r w:rsidRPr="00FA2811">
        <w:rPr>
          <w:rFonts w:ascii="Times New Roman" w:hAnsi="Times New Roman"/>
          <w:i/>
        </w:rPr>
        <w:t xml:space="preserve">Consider the following options for K_offset indication </w:t>
      </w:r>
    </w:p>
    <w:p w14:paraId="373191A3" w14:textId="77777777" w:rsidR="00E80CD7" w:rsidRPr="00FA2811" w:rsidRDefault="00E80CD7" w:rsidP="00E80CD7">
      <w:pPr>
        <w:pStyle w:val="ListParagraph"/>
        <w:numPr>
          <w:ilvl w:val="1"/>
          <w:numId w:val="40"/>
        </w:numPr>
        <w:spacing w:before="240"/>
        <w:jc w:val="both"/>
        <w:rPr>
          <w:rFonts w:ascii="Times New Roman" w:hAnsi="Times New Roman"/>
          <w:i/>
        </w:rPr>
      </w:pPr>
      <w:r w:rsidRPr="00FA2811">
        <w:rPr>
          <w:rFonts w:ascii="Times New Roman" w:hAnsi="Times New Roman"/>
          <w:i/>
        </w:rPr>
        <w:t xml:space="preserve">Alt. 1: Single K_offset value is indicated </w:t>
      </w:r>
    </w:p>
    <w:p w14:paraId="03ACDAF5" w14:textId="77777777" w:rsidR="00E80CD7" w:rsidRPr="00FA2811" w:rsidRDefault="00E80CD7" w:rsidP="00E80CD7">
      <w:pPr>
        <w:pStyle w:val="ListParagraph"/>
        <w:numPr>
          <w:ilvl w:val="1"/>
          <w:numId w:val="40"/>
        </w:numPr>
        <w:spacing w:before="240"/>
        <w:jc w:val="both"/>
        <w:rPr>
          <w:rFonts w:ascii="Times New Roman" w:hAnsi="Times New Roman"/>
          <w:i/>
        </w:rPr>
      </w:pPr>
      <w:r w:rsidRPr="00FA2811">
        <w:rPr>
          <w:rFonts w:ascii="Times New Roman" w:hAnsi="Times New Roman"/>
          <w:i/>
        </w:rPr>
        <w:t>Alt. 2: Two K_offset values corresponding to service link and feeder link are indicated separately</w:t>
      </w:r>
    </w:p>
    <w:p w14:paraId="44BBF1DC" w14:textId="19589A16" w:rsidR="00AC6F52" w:rsidRPr="00E80CD7" w:rsidRDefault="00E80CD7" w:rsidP="00E80CD7">
      <w:pPr>
        <w:pStyle w:val="ListParagraph"/>
        <w:numPr>
          <w:ilvl w:val="2"/>
          <w:numId w:val="40"/>
        </w:numPr>
        <w:jc w:val="both"/>
        <w:rPr>
          <w:rFonts w:ascii="Times New Roman" w:hAnsi="Times New Roman"/>
        </w:rPr>
      </w:pPr>
      <w:r w:rsidRPr="00E80CD7">
        <w:rPr>
          <w:rFonts w:ascii="Times New Roman" w:hAnsi="Times New Roman"/>
          <w:i/>
        </w:rPr>
        <w:t>FFS: Implicit determination of K_offset for feeder link from Common TA (or vice versa)</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lastRenderedPageBreak/>
        <w:t>References</w:t>
      </w:r>
    </w:p>
    <w:p w14:paraId="5E6EBAD1" w14:textId="77777777" w:rsidR="002848B9" w:rsidRDefault="002848B9" w:rsidP="002848B9">
      <w:pPr>
        <w:numPr>
          <w:ilvl w:val="0"/>
          <w:numId w:val="2"/>
        </w:numPr>
        <w:rPr>
          <w:sz w:val="22"/>
          <w:lang w:eastAsia="zh-CN"/>
        </w:rPr>
      </w:pPr>
      <w:r w:rsidRPr="00552F61">
        <w:rPr>
          <w:sz w:val="22"/>
        </w:rPr>
        <w:t>RP-193235</w:t>
      </w:r>
      <w:r w:rsidRPr="005C3FE0">
        <w:rPr>
          <w:sz w:val="22"/>
        </w:rPr>
        <w:t xml:space="preserve"> </w:t>
      </w:r>
      <w:r w:rsidRPr="00D3068D">
        <w:rPr>
          <w:sz w:val="22"/>
        </w:rPr>
        <w:t>Study on NB-Io/eMTC support for Non-Terrestrial Network</w:t>
      </w:r>
    </w:p>
    <w:p w14:paraId="7EF180E2" w14:textId="23A5381B" w:rsidR="004A1791" w:rsidRPr="00130F41" w:rsidRDefault="002848B9" w:rsidP="00130F41">
      <w:pPr>
        <w:numPr>
          <w:ilvl w:val="0"/>
          <w:numId w:val="2"/>
        </w:numPr>
        <w:rPr>
          <w:sz w:val="22"/>
          <w:lang w:eastAsia="zh-CN"/>
        </w:rPr>
      </w:pPr>
      <w:r w:rsidRPr="004A0FB0">
        <w:rPr>
          <w:sz w:val="22"/>
          <w:lang w:eastAsia="zh-CN"/>
        </w:rPr>
        <w:t>RP-211601</w:t>
      </w:r>
      <w:r>
        <w:rPr>
          <w:sz w:val="22"/>
          <w:lang w:eastAsia="zh-CN"/>
        </w:rPr>
        <w:t xml:space="preserve"> </w:t>
      </w:r>
      <w:r w:rsidRPr="004A0FB0">
        <w:rPr>
          <w:sz w:val="22"/>
          <w:lang w:eastAsia="zh-CN"/>
        </w:rPr>
        <w:t>WID on NB-IoT/eMTC support for NTN</w:t>
      </w:r>
    </w:p>
    <w:sectPr w:rsidR="004A1791" w:rsidRPr="00130F41"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A1748" w14:textId="77777777" w:rsidR="0071154F" w:rsidRDefault="0071154F">
      <w:r>
        <w:separator/>
      </w:r>
    </w:p>
  </w:endnote>
  <w:endnote w:type="continuationSeparator" w:id="0">
    <w:p w14:paraId="4C2E3FC4" w14:textId="77777777" w:rsidR="0071154F" w:rsidRDefault="0071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ADC73" w14:textId="77777777" w:rsidR="0071154F" w:rsidRDefault="0071154F">
      <w:r>
        <w:separator/>
      </w:r>
    </w:p>
  </w:footnote>
  <w:footnote w:type="continuationSeparator" w:id="0">
    <w:p w14:paraId="090D5865" w14:textId="77777777" w:rsidR="0071154F" w:rsidRDefault="00711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CC0F7A"/>
    <w:multiLevelType w:val="hybridMultilevel"/>
    <w:tmpl w:val="FE78EE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13C6A2E"/>
    <w:multiLevelType w:val="hybridMultilevel"/>
    <w:tmpl w:val="8B106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7BF33F2"/>
    <w:multiLevelType w:val="hybridMultilevel"/>
    <w:tmpl w:val="DC009150"/>
    <w:lvl w:ilvl="0" w:tplc="890C01F2">
      <w:start w:val="1"/>
      <w:numFmt w:val="decimal"/>
      <w:lvlText w:val="%1)"/>
      <w:lvlJc w:val="left"/>
      <w:pPr>
        <w:ind w:left="720" w:hanging="360"/>
      </w:pPr>
      <w:rPr>
        <w:rFonts w:ascii="Calibri" w:hAnsi="Calibri" w:cs="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4"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075AB2"/>
    <w:multiLevelType w:val="hybridMultilevel"/>
    <w:tmpl w:val="76E819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0"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273AAF"/>
    <w:multiLevelType w:val="hybridMultilevel"/>
    <w:tmpl w:val="4A9C90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2690E214">
      <w:numFmt w:val="bullet"/>
      <w:lvlText w:val=""/>
      <w:lvlJc w:val="left"/>
      <w:pPr>
        <w:ind w:left="2160" w:hanging="360"/>
      </w:pPr>
      <w:rPr>
        <w:rFonts w:ascii="Wingdings" w:eastAsia="SimSun" w:hAnsi="Wingdings"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87D2DDC"/>
    <w:multiLevelType w:val="hybridMultilevel"/>
    <w:tmpl w:val="274E3F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5C3DF4"/>
    <w:multiLevelType w:val="hybridMultilevel"/>
    <w:tmpl w:val="E96469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EEE4751"/>
    <w:multiLevelType w:val="hybridMultilevel"/>
    <w:tmpl w:val="53787D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A3438CE"/>
    <w:multiLevelType w:val="multilevel"/>
    <w:tmpl w:val="4DF63B30"/>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9B5C01"/>
    <w:multiLevelType w:val="hybridMultilevel"/>
    <w:tmpl w:val="1F626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EA2122"/>
    <w:multiLevelType w:val="hybridMultilevel"/>
    <w:tmpl w:val="081A2B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42"/>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4"/>
  </w:num>
  <w:num w:numId="7">
    <w:abstractNumId w:val="3"/>
  </w:num>
  <w:num w:numId="8">
    <w:abstractNumId w:val="37"/>
  </w:num>
  <w:num w:numId="9">
    <w:abstractNumId w:val="1"/>
  </w:num>
  <w:num w:numId="10">
    <w:abstractNumId w:val="2"/>
  </w:num>
  <w:num w:numId="11">
    <w:abstractNumId w:val="4"/>
  </w:num>
  <w:num w:numId="12">
    <w:abstractNumId w:val="7"/>
  </w:num>
  <w:num w:numId="13">
    <w:abstractNumId w:val="32"/>
  </w:num>
  <w:num w:numId="14">
    <w:abstractNumId w:val="41"/>
  </w:num>
  <w:num w:numId="15">
    <w:abstractNumId w:val="5"/>
  </w:num>
  <w:num w:numId="16">
    <w:abstractNumId w:val="18"/>
  </w:num>
  <w:num w:numId="17">
    <w:abstractNumId w:val="30"/>
  </w:num>
  <w:num w:numId="18">
    <w:abstractNumId w:val="22"/>
  </w:num>
  <w:num w:numId="19">
    <w:abstractNumId w:val="21"/>
  </w:num>
  <w:num w:numId="20">
    <w:abstractNumId w:val="33"/>
  </w:num>
  <w:num w:numId="21">
    <w:abstractNumId w:val="40"/>
  </w:num>
  <w:num w:numId="22">
    <w:abstractNumId w:val="8"/>
  </w:num>
  <w:num w:numId="23">
    <w:abstractNumId w:val="39"/>
  </w:num>
  <w:num w:numId="24">
    <w:abstractNumId w:val="26"/>
  </w:num>
  <w:num w:numId="25">
    <w:abstractNumId w:val="6"/>
  </w:num>
  <w:num w:numId="26">
    <w:abstractNumId w:val="16"/>
  </w:num>
  <w:num w:numId="27">
    <w:abstractNumId w:val="14"/>
  </w:num>
  <w:num w:numId="28">
    <w:abstractNumId w:val="19"/>
  </w:num>
  <w:num w:numId="29">
    <w:abstractNumId w:val="27"/>
  </w:num>
  <w:num w:numId="30">
    <w:abstractNumId w:val="20"/>
  </w:num>
  <w:num w:numId="31">
    <w:abstractNumId w:val="28"/>
  </w:num>
  <w:num w:numId="32">
    <w:abstractNumId w:val="15"/>
  </w:num>
  <w:num w:numId="33">
    <w:abstractNumId w:val="9"/>
  </w:num>
  <w:num w:numId="34">
    <w:abstractNumId w:val="10"/>
  </w:num>
  <w:num w:numId="35">
    <w:abstractNumId w:val="36"/>
  </w:num>
  <w:num w:numId="36">
    <w:abstractNumId w:val="31"/>
  </w:num>
  <w:num w:numId="37">
    <w:abstractNumId w:val="35"/>
  </w:num>
  <w:num w:numId="38">
    <w:abstractNumId w:val="25"/>
  </w:num>
  <w:num w:numId="39">
    <w:abstractNumId w:val="23"/>
  </w:num>
  <w:num w:numId="40">
    <w:abstractNumId w:val="38"/>
  </w:num>
  <w:num w:numId="41">
    <w:abstractNumId w:val="29"/>
  </w:num>
  <w:num w:numId="4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0C8"/>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2AD"/>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486"/>
    <w:rsid w:val="00031675"/>
    <w:rsid w:val="00031734"/>
    <w:rsid w:val="00031EDD"/>
    <w:rsid w:val="00032043"/>
    <w:rsid w:val="000321DC"/>
    <w:rsid w:val="00032A64"/>
    <w:rsid w:val="00032AF7"/>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29"/>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8D7"/>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E8"/>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B87"/>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60"/>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6C9"/>
    <w:rsid w:val="000A47AC"/>
    <w:rsid w:val="000A49DE"/>
    <w:rsid w:val="000A4B74"/>
    <w:rsid w:val="000A4FF3"/>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CCE"/>
    <w:rsid w:val="000B0FF3"/>
    <w:rsid w:val="000B10AB"/>
    <w:rsid w:val="000B17A1"/>
    <w:rsid w:val="000B193E"/>
    <w:rsid w:val="000B1B47"/>
    <w:rsid w:val="000B1CD3"/>
    <w:rsid w:val="000B256B"/>
    <w:rsid w:val="000B26B1"/>
    <w:rsid w:val="000B2AAA"/>
    <w:rsid w:val="000B2B42"/>
    <w:rsid w:val="000B2B61"/>
    <w:rsid w:val="000B32D4"/>
    <w:rsid w:val="000B3658"/>
    <w:rsid w:val="000B366F"/>
    <w:rsid w:val="000B38DA"/>
    <w:rsid w:val="000B3F37"/>
    <w:rsid w:val="000B40E0"/>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131"/>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3D9"/>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17B"/>
    <w:rsid w:val="001134DA"/>
    <w:rsid w:val="0011372B"/>
    <w:rsid w:val="001138BF"/>
    <w:rsid w:val="00113D8F"/>
    <w:rsid w:val="00114012"/>
    <w:rsid w:val="0011402C"/>
    <w:rsid w:val="001140FA"/>
    <w:rsid w:val="001141CF"/>
    <w:rsid w:val="00114379"/>
    <w:rsid w:val="001146A3"/>
    <w:rsid w:val="001146C6"/>
    <w:rsid w:val="001147B8"/>
    <w:rsid w:val="00114949"/>
    <w:rsid w:val="00114A39"/>
    <w:rsid w:val="00114CFE"/>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0F41"/>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0B1"/>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6D05"/>
    <w:rsid w:val="001574F9"/>
    <w:rsid w:val="0015790D"/>
    <w:rsid w:val="00157D41"/>
    <w:rsid w:val="00157FE4"/>
    <w:rsid w:val="0016019C"/>
    <w:rsid w:val="0016049F"/>
    <w:rsid w:val="00160674"/>
    <w:rsid w:val="00160786"/>
    <w:rsid w:val="00160EC9"/>
    <w:rsid w:val="001611C3"/>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5F6A"/>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B7B"/>
    <w:rsid w:val="00180E60"/>
    <w:rsid w:val="00181057"/>
    <w:rsid w:val="001817BA"/>
    <w:rsid w:val="001818A9"/>
    <w:rsid w:val="00181B3A"/>
    <w:rsid w:val="001820B2"/>
    <w:rsid w:val="001821E9"/>
    <w:rsid w:val="001824D2"/>
    <w:rsid w:val="00182608"/>
    <w:rsid w:val="00182939"/>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AE7"/>
    <w:rsid w:val="00191C7A"/>
    <w:rsid w:val="00191EBF"/>
    <w:rsid w:val="001925E5"/>
    <w:rsid w:val="00192D98"/>
    <w:rsid w:val="00193987"/>
    <w:rsid w:val="00193AEA"/>
    <w:rsid w:val="00194465"/>
    <w:rsid w:val="00194A1E"/>
    <w:rsid w:val="00194A69"/>
    <w:rsid w:val="00194FBD"/>
    <w:rsid w:val="00194FCD"/>
    <w:rsid w:val="00195362"/>
    <w:rsid w:val="001956BE"/>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858"/>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51A"/>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6D4"/>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D7A"/>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607"/>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4CE"/>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1A4"/>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1F3"/>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47F"/>
    <w:rsid w:val="002744AB"/>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3F33"/>
    <w:rsid w:val="002841EF"/>
    <w:rsid w:val="002848B9"/>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B1B"/>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683"/>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50C"/>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323"/>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0A2A"/>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796"/>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EDC"/>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1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31"/>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7782F"/>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D3B"/>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4C8"/>
    <w:rsid w:val="003C75E4"/>
    <w:rsid w:val="003C78C0"/>
    <w:rsid w:val="003C79A4"/>
    <w:rsid w:val="003C7BD6"/>
    <w:rsid w:val="003C7CF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260"/>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B30"/>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A71"/>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5F07"/>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7EF"/>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9FE"/>
    <w:rsid w:val="00491E30"/>
    <w:rsid w:val="004924E5"/>
    <w:rsid w:val="00492619"/>
    <w:rsid w:val="004926A8"/>
    <w:rsid w:val="004926EF"/>
    <w:rsid w:val="00492CE6"/>
    <w:rsid w:val="00492D3C"/>
    <w:rsid w:val="00492DD2"/>
    <w:rsid w:val="00492ECB"/>
    <w:rsid w:val="00493008"/>
    <w:rsid w:val="0049318A"/>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77F"/>
    <w:rsid w:val="0049792C"/>
    <w:rsid w:val="004A0003"/>
    <w:rsid w:val="004A01E1"/>
    <w:rsid w:val="004A06D4"/>
    <w:rsid w:val="004A0814"/>
    <w:rsid w:val="004A0D1B"/>
    <w:rsid w:val="004A0E00"/>
    <w:rsid w:val="004A15F7"/>
    <w:rsid w:val="004A1600"/>
    <w:rsid w:val="004A1791"/>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C4C"/>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69"/>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BE5"/>
    <w:rsid w:val="004C0EA7"/>
    <w:rsid w:val="004C0F99"/>
    <w:rsid w:val="004C11B7"/>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2E"/>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D7E97"/>
    <w:rsid w:val="004D7F3E"/>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62"/>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45"/>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89D"/>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2CD"/>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070"/>
    <w:rsid w:val="00521B8C"/>
    <w:rsid w:val="00521D65"/>
    <w:rsid w:val="00521D8B"/>
    <w:rsid w:val="00521F19"/>
    <w:rsid w:val="005221A4"/>
    <w:rsid w:val="005222D6"/>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B72"/>
    <w:rsid w:val="00526C8A"/>
    <w:rsid w:val="00526E75"/>
    <w:rsid w:val="005273CB"/>
    <w:rsid w:val="005273E8"/>
    <w:rsid w:val="00527489"/>
    <w:rsid w:val="0053012B"/>
    <w:rsid w:val="00530467"/>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39E3"/>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790"/>
    <w:rsid w:val="005368EA"/>
    <w:rsid w:val="00536A43"/>
    <w:rsid w:val="00536AEE"/>
    <w:rsid w:val="00536E27"/>
    <w:rsid w:val="005376C3"/>
    <w:rsid w:val="005377CA"/>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1E61"/>
    <w:rsid w:val="005421CF"/>
    <w:rsid w:val="005422FB"/>
    <w:rsid w:val="005424B2"/>
    <w:rsid w:val="00542F16"/>
    <w:rsid w:val="0054324F"/>
    <w:rsid w:val="00543376"/>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74A"/>
    <w:rsid w:val="00565878"/>
    <w:rsid w:val="00565BEA"/>
    <w:rsid w:val="00565D4C"/>
    <w:rsid w:val="0056636D"/>
    <w:rsid w:val="0056668C"/>
    <w:rsid w:val="005667B1"/>
    <w:rsid w:val="005669E3"/>
    <w:rsid w:val="00566A42"/>
    <w:rsid w:val="00566CBC"/>
    <w:rsid w:val="0056719E"/>
    <w:rsid w:val="0056747F"/>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0F4E"/>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3CAC"/>
    <w:rsid w:val="005A40D5"/>
    <w:rsid w:val="005A438E"/>
    <w:rsid w:val="005A4458"/>
    <w:rsid w:val="005A4631"/>
    <w:rsid w:val="005A4962"/>
    <w:rsid w:val="005A4967"/>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827"/>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0CD"/>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37D"/>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2E9"/>
    <w:rsid w:val="005D5438"/>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ADB"/>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A93"/>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5E64"/>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58"/>
    <w:rsid w:val="00635B84"/>
    <w:rsid w:val="00635EDA"/>
    <w:rsid w:val="00635EDC"/>
    <w:rsid w:val="00635F56"/>
    <w:rsid w:val="00636094"/>
    <w:rsid w:val="0063654B"/>
    <w:rsid w:val="0063681F"/>
    <w:rsid w:val="00636A76"/>
    <w:rsid w:val="00636CF5"/>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7CF"/>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CF1"/>
    <w:rsid w:val="00650D1E"/>
    <w:rsid w:val="00650EB8"/>
    <w:rsid w:val="00650ECE"/>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EDE"/>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AB7"/>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361"/>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A0"/>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0FE"/>
    <w:rsid w:val="0070711F"/>
    <w:rsid w:val="0070743B"/>
    <w:rsid w:val="00707964"/>
    <w:rsid w:val="00707AE0"/>
    <w:rsid w:val="00707CFF"/>
    <w:rsid w:val="00710027"/>
    <w:rsid w:val="007101EE"/>
    <w:rsid w:val="00710994"/>
    <w:rsid w:val="007109CD"/>
    <w:rsid w:val="00710A3E"/>
    <w:rsid w:val="00710D33"/>
    <w:rsid w:val="007110FE"/>
    <w:rsid w:val="0071154F"/>
    <w:rsid w:val="0071159F"/>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95"/>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CE0"/>
    <w:rsid w:val="00744E3E"/>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557"/>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E9A"/>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0A3"/>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03D"/>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4BE"/>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626"/>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CFB"/>
    <w:rsid w:val="00806D29"/>
    <w:rsid w:val="008075F9"/>
    <w:rsid w:val="0080770D"/>
    <w:rsid w:val="008078EA"/>
    <w:rsid w:val="00807D28"/>
    <w:rsid w:val="00807D5E"/>
    <w:rsid w:val="00807E1B"/>
    <w:rsid w:val="0081012C"/>
    <w:rsid w:val="00810653"/>
    <w:rsid w:val="00810C3E"/>
    <w:rsid w:val="00810DE9"/>
    <w:rsid w:val="00810EAE"/>
    <w:rsid w:val="00810FCE"/>
    <w:rsid w:val="00811036"/>
    <w:rsid w:val="0081110A"/>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1A95"/>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14"/>
    <w:rsid w:val="00840D46"/>
    <w:rsid w:val="008412EA"/>
    <w:rsid w:val="00841573"/>
    <w:rsid w:val="008419A1"/>
    <w:rsid w:val="00841AA6"/>
    <w:rsid w:val="00841D4B"/>
    <w:rsid w:val="00841EB3"/>
    <w:rsid w:val="00842039"/>
    <w:rsid w:val="00842061"/>
    <w:rsid w:val="0084239C"/>
    <w:rsid w:val="008429F2"/>
    <w:rsid w:val="00842DB7"/>
    <w:rsid w:val="0084305C"/>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1A"/>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C24"/>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9C5"/>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47DE"/>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57B"/>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1C0"/>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83E"/>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AF4"/>
    <w:rsid w:val="008E0CDD"/>
    <w:rsid w:val="008E0E89"/>
    <w:rsid w:val="008E0E8C"/>
    <w:rsid w:val="008E0EA3"/>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979"/>
    <w:rsid w:val="00903F59"/>
    <w:rsid w:val="00903FBE"/>
    <w:rsid w:val="0090411E"/>
    <w:rsid w:val="009045C7"/>
    <w:rsid w:val="0090480E"/>
    <w:rsid w:val="00904A52"/>
    <w:rsid w:val="00904A62"/>
    <w:rsid w:val="00904B6D"/>
    <w:rsid w:val="00904E1D"/>
    <w:rsid w:val="009054E7"/>
    <w:rsid w:val="00905A06"/>
    <w:rsid w:val="00905E2D"/>
    <w:rsid w:val="0090605F"/>
    <w:rsid w:val="00906100"/>
    <w:rsid w:val="00906769"/>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189"/>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693A"/>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00"/>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4EA6"/>
    <w:rsid w:val="009355F0"/>
    <w:rsid w:val="00935B52"/>
    <w:rsid w:val="00935E52"/>
    <w:rsid w:val="00935F38"/>
    <w:rsid w:val="00936951"/>
    <w:rsid w:val="00936A90"/>
    <w:rsid w:val="009370A6"/>
    <w:rsid w:val="009374F8"/>
    <w:rsid w:val="00937AC7"/>
    <w:rsid w:val="00937B7C"/>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01"/>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D74"/>
    <w:rsid w:val="0095506D"/>
    <w:rsid w:val="009552C6"/>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AF5"/>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59FD"/>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0FA8"/>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C52"/>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989"/>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13"/>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0F59"/>
    <w:rsid w:val="00A1107F"/>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926"/>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444"/>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71"/>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668"/>
    <w:rsid w:val="00A676FC"/>
    <w:rsid w:val="00A677C1"/>
    <w:rsid w:val="00A6799D"/>
    <w:rsid w:val="00A67A8E"/>
    <w:rsid w:val="00A67AC6"/>
    <w:rsid w:val="00A67EE0"/>
    <w:rsid w:val="00A70709"/>
    <w:rsid w:val="00A70A35"/>
    <w:rsid w:val="00A7108A"/>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E4E"/>
    <w:rsid w:val="00A74F6C"/>
    <w:rsid w:val="00A75204"/>
    <w:rsid w:val="00A75212"/>
    <w:rsid w:val="00A7538B"/>
    <w:rsid w:val="00A75586"/>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AEB"/>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BF"/>
    <w:rsid w:val="00A930F9"/>
    <w:rsid w:val="00A93270"/>
    <w:rsid w:val="00A934FE"/>
    <w:rsid w:val="00A9356C"/>
    <w:rsid w:val="00A93715"/>
    <w:rsid w:val="00A9399B"/>
    <w:rsid w:val="00A939D3"/>
    <w:rsid w:val="00A93BDA"/>
    <w:rsid w:val="00A93E41"/>
    <w:rsid w:val="00A94017"/>
    <w:rsid w:val="00A94134"/>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C0D"/>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26"/>
    <w:rsid w:val="00AA3354"/>
    <w:rsid w:val="00AA3421"/>
    <w:rsid w:val="00AA34E4"/>
    <w:rsid w:val="00AA3581"/>
    <w:rsid w:val="00AA37E0"/>
    <w:rsid w:val="00AA3927"/>
    <w:rsid w:val="00AA3AFB"/>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3C3"/>
    <w:rsid w:val="00AA69EF"/>
    <w:rsid w:val="00AA6A93"/>
    <w:rsid w:val="00AA6B64"/>
    <w:rsid w:val="00AA6F9A"/>
    <w:rsid w:val="00AA7C4F"/>
    <w:rsid w:val="00AB001C"/>
    <w:rsid w:val="00AB003A"/>
    <w:rsid w:val="00AB0219"/>
    <w:rsid w:val="00AB02C8"/>
    <w:rsid w:val="00AB03CE"/>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39D"/>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B5C"/>
    <w:rsid w:val="00AC1C07"/>
    <w:rsid w:val="00AC2D4E"/>
    <w:rsid w:val="00AC2DA4"/>
    <w:rsid w:val="00AC2EBC"/>
    <w:rsid w:val="00AC3084"/>
    <w:rsid w:val="00AC33F0"/>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6F52"/>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3E6"/>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4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23E"/>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36"/>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A"/>
    <w:rsid w:val="00B8321E"/>
    <w:rsid w:val="00B8340C"/>
    <w:rsid w:val="00B83AC3"/>
    <w:rsid w:val="00B83D8E"/>
    <w:rsid w:val="00B83DF6"/>
    <w:rsid w:val="00B8408E"/>
    <w:rsid w:val="00B847B6"/>
    <w:rsid w:val="00B84920"/>
    <w:rsid w:val="00B84BE8"/>
    <w:rsid w:val="00B8555A"/>
    <w:rsid w:val="00B85A0D"/>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953"/>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2E5C"/>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36"/>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27D"/>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35"/>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534"/>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6BC7"/>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A7"/>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0CCA"/>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556"/>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395"/>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4DF"/>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0EAF"/>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1B7"/>
    <w:rsid w:val="00CC57AE"/>
    <w:rsid w:val="00CC5822"/>
    <w:rsid w:val="00CC5867"/>
    <w:rsid w:val="00CC5BD2"/>
    <w:rsid w:val="00CC5E0D"/>
    <w:rsid w:val="00CC606C"/>
    <w:rsid w:val="00CC6B0F"/>
    <w:rsid w:val="00CC6C02"/>
    <w:rsid w:val="00CC6C99"/>
    <w:rsid w:val="00CC6CE5"/>
    <w:rsid w:val="00CC6D7A"/>
    <w:rsid w:val="00CC728B"/>
    <w:rsid w:val="00CC7356"/>
    <w:rsid w:val="00CC74D5"/>
    <w:rsid w:val="00CC79EF"/>
    <w:rsid w:val="00CC7A6D"/>
    <w:rsid w:val="00CC7BD9"/>
    <w:rsid w:val="00CC7DF5"/>
    <w:rsid w:val="00CD04B6"/>
    <w:rsid w:val="00CD04FE"/>
    <w:rsid w:val="00CD0740"/>
    <w:rsid w:val="00CD0768"/>
    <w:rsid w:val="00CD0C90"/>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A5A"/>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954"/>
    <w:rsid w:val="00D07B00"/>
    <w:rsid w:val="00D07D66"/>
    <w:rsid w:val="00D07DCA"/>
    <w:rsid w:val="00D07F11"/>
    <w:rsid w:val="00D101B4"/>
    <w:rsid w:val="00D10270"/>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AFE"/>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19E"/>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6753D"/>
    <w:rsid w:val="00D7010A"/>
    <w:rsid w:val="00D7040B"/>
    <w:rsid w:val="00D708A1"/>
    <w:rsid w:val="00D70F5E"/>
    <w:rsid w:val="00D70F87"/>
    <w:rsid w:val="00D7123A"/>
    <w:rsid w:val="00D71326"/>
    <w:rsid w:val="00D71EE6"/>
    <w:rsid w:val="00D71EE8"/>
    <w:rsid w:val="00D71F20"/>
    <w:rsid w:val="00D72081"/>
    <w:rsid w:val="00D72115"/>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893"/>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AD6"/>
    <w:rsid w:val="00DA4B10"/>
    <w:rsid w:val="00DA4D11"/>
    <w:rsid w:val="00DA52E0"/>
    <w:rsid w:val="00DA5A53"/>
    <w:rsid w:val="00DA5CA9"/>
    <w:rsid w:val="00DA5E7E"/>
    <w:rsid w:val="00DA6727"/>
    <w:rsid w:val="00DA6728"/>
    <w:rsid w:val="00DA6763"/>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6A"/>
    <w:rsid w:val="00DB6B82"/>
    <w:rsid w:val="00DB6B86"/>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9CD"/>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7DE"/>
    <w:rsid w:val="00DE7CA6"/>
    <w:rsid w:val="00DE7D03"/>
    <w:rsid w:val="00DE7E42"/>
    <w:rsid w:val="00DE7F96"/>
    <w:rsid w:val="00DF02EC"/>
    <w:rsid w:val="00DF0D33"/>
    <w:rsid w:val="00DF0E63"/>
    <w:rsid w:val="00DF0FE6"/>
    <w:rsid w:val="00DF1300"/>
    <w:rsid w:val="00DF13EC"/>
    <w:rsid w:val="00DF1758"/>
    <w:rsid w:val="00DF1851"/>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A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B7C"/>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3C7"/>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0C4"/>
    <w:rsid w:val="00E341CE"/>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8BB"/>
    <w:rsid w:val="00E42975"/>
    <w:rsid w:val="00E42E50"/>
    <w:rsid w:val="00E42FF3"/>
    <w:rsid w:val="00E432AE"/>
    <w:rsid w:val="00E4356E"/>
    <w:rsid w:val="00E43A23"/>
    <w:rsid w:val="00E43C25"/>
    <w:rsid w:val="00E43F1E"/>
    <w:rsid w:val="00E43FBE"/>
    <w:rsid w:val="00E44800"/>
    <w:rsid w:val="00E448EA"/>
    <w:rsid w:val="00E449E9"/>
    <w:rsid w:val="00E44AD7"/>
    <w:rsid w:val="00E44B2C"/>
    <w:rsid w:val="00E44BDD"/>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121"/>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0CD7"/>
    <w:rsid w:val="00E810EC"/>
    <w:rsid w:val="00E8117B"/>
    <w:rsid w:val="00E81244"/>
    <w:rsid w:val="00E81490"/>
    <w:rsid w:val="00E81F9F"/>
    <w:rsid w:val="00E81FEA"/>
    <w:rsid w:val="00E81FFC"/>
    <w:rsid w:val="00E82527"/>
    <w:rsid w:val="00E82608"/>
    <w:rsid w:val="00E826C8"/>
    <w:rsid w:val="00E828DA"/>
    <w:rsid w:val="00E8290C"/>
    <w:rsid w:val="00E83280"/>
    <w:rsid w:val="00E832BC"/>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5D1"/>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0F07"/>
    <w:rsid w:val="00EB1495"/>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9F1"/>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EA3"/>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3F26"/>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1"/>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B6D"/>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3F6F"/>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E0C"/>
    <w:rsid w:val="00F3002F"/>
    <w:rsid w:val="00F30031"/>
    <w:rsid w:val="00F30353"/>
    <w:rsid w:val="00F308C0"/>
    <w:rsid w:val="00F308E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AD8"/>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811"/>
    <w:rsid w:val="00FA2AB0"/>
    <w:rsid w:val="00FA3B5F"/>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4FC"/>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E1A"/>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5A5"/>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1C62"/>
    <w:rsid w:val="00FE20AB"/>
    <w:rsid w:val="00FE22FE"/>
    <w:rsid w:val="00FE2514"/>
    <w:rsid w:val="00FE284A"/>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0F0"/>
    <w:rsid w:val="00FF25F2"/>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9C8"/>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FD46EE0-C902-4E67-863D-9EFF2E38D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18333</TotalTime>
  <Pages>4</Pages>
  <Words>1119</Words>
  <Characters>6380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7485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1620</cp:revision>
  <cp:lastPrinted>2011-11-09T07:49:00Z</cp:lastPrinted>
  <dcterms:created xsi:type="dcterms:W3CDTF">2018-11-02T18:38:00Z</dcterms:created>
  <dcterms:modified xsi:type="dcterms:W3CDTF">2021-08-07T04:59:00Z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